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D9F" w:rsidRDefault="00590959" w:rsidP="005F6769">
      <w:pPr>
        <w:shd w:val="clear" w:color="auto" w:fill="FFF2CC" w:themeFill="accent4" w:themeFillTint="33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rFonts w:ascii="Arial" w:eastAsia="Times New Roman" w:hAnsi="Arial" w:cs="Arial" w:hint="cs"/>
          <w:b/>
          <w:bCs/>
          <w:color w:val="000000"/>
          <w:sz w:val="36"/>
          <w:szCs w:val="36"/>
        </w:rPr>
        <w:t>T</w:t>
      </w:r>
      <w:r>
        <w:rPr>
          <w:rFonts w:ascii="Arial" w:eastAsia="Times New Roman" w:hAnsi="Arial" w:cs="Arial"/>
          <w:b/>
          <w:bCs/>
          <w:color w:val="000000"/>
          <w:sz w:val="36"/>
          <w:szCs w:val="36"/>
        </w:rPr>
        <w:t>itle:</w:t>
      </w:r>
      <w:r w:rsidR="00256139">
        <w:rPr>
          <w:rFonts w:ascii="Arial" w:eastAsia="Times New Roman" w:hAnsi="Arial" w:cs="Arial"/>
          <w:b/>
          <w:bCs/>
          <w:color w:val="000000"/>
          <w:sz w:val="36"/>
          <w:szCs w:val="36"/>
        </w:rPr>
        <w:t xml:space="preserve"> </w:t>
      </w:r>
      <w:r w:rsidR="005F6769">
        <w:rPr>
          <w:rFonts w:ascii="Arial" w:eastAsia="Times New Roman" w:hAnsi="Arial" w:cs="Arial"/>
          <w:b/>
          <w:bCs/>
          <w:color w:val="000000"/>
          <w:sz w:val="36"/>
          <w:szCs w:val="36"/>
        </w:rPr>
        <w:t>Femoral T</w:t>
      </w:r>
      <w:r w:rsidR="005F6769" w:rsidRPr="005F6769">
        <w:rPr>
          <w:rFonts w:ascii="Arial" w:eastAsia="Times New Roman" w:hAnsi="Arial" w:cs="Arial"/>
          <w:b/>
          <w:bCs/>
          <w:color w:val="000000"/>
          <w:sz w:val="36"/>
          <w:szCs w:val="36"/>
        </w:rPr>
        <w:t>unneled</w:t>
      </w:r>
      <w:r w:rsidR="005F6769">
        <w:rPr>
          <w:rFonts w:ascii="Arial" w:eastAsia="Times New Roman" w:hAnsi="Arial" w:cs="Arial"/>
          <w:b/>
          <w:bCs/>
          <w:color w:val="000000"/>
          <w:sz w:val="36"/>
          <w:szCs w:val="36"/>
        </w:rPr>
        <w:t xml:space="preserve"> </w:t>
      </w:r>
      <w:r w:rsidR="005F6769" w:rsidRPr="005F6769">
        <w:rPr>
          <w:rFonts w:ascii="Arial" w:eastAsia="Times New Roman" w:hAnsi="Arial" w:cs="Arial"/>
          <w:b/>
          <w:bCs/>
          <w:color w:val="000000"/>
          <w:sz w:val="36"/>
          <w:szCs w:val="36"/>
        </w:rPr>
        <w:t>Hemodialysis</w:t>
      </w:r>
      <w:r w:rsidR="005F6769">
        <w:rPr>
          <w:rFonts w:ascii="Arial" w:eastAsia="Times New Roman" w:hAnsi="Arial" w:cs="Arial"/>
          <w:b/>
          <w:bCs/>
          <w:color w:val="000000"/>
          <w:sz w:val="36"/>
          <w:szCs w:val="36"/>
        </w:rPr>
        <w:t xml:space="preserve"> Catheter a</w:t>
      </w:r>
      <w:r w:rsidR="002259FA" w:rsidRPr="002259FA">
        <w:rPr>
          <w:rFonts w:ascii="Arial" w:eastAsia="Times New Roman" w:hAnsi="Arial" w:cs="Arial"/>
          <w:b/>
          <w:bCs/>
          <w:color w:val="000000"/>
          <w:sz w:val="36"/>
          <w:szCs w:val="36"/>
        </w:rPr>
        <w:t>s a permanent access for hemodialysis patients</w:t>
      </w:r>
    </w:p>
    <w:p w:rsidR="00AB5F6E" w:rsidRDefault="00AB5F6E" w:rsidP="002259FA">
      <w:pPr>
        <w:shd w:val="clear" w:color="auto" w:fill="FFF2CC" w:themeFill="accent4" w:themeFillTint="33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36"/>
          <w:szCs w:val="36"/>
        </w:rPr>
        <w:t>Herzallah</w:t>
      </w:r>
      <w:proofErr w:type="spellEnd"/>
      <w:r>
        <w:rPr>
          <w:rFonts w:ascii="Arial" w:eastAsia="Times New Roman" w:hAnsi="Arial" w:cs="Arial"/>
          <w:b/>
          <w:bCs/>
          <w:color w:val="000000"/>
          <w:sz w:val="36"/>
          <w:szCs w:val="36"/>
        </w:rPr>
        <w:t xml:space="preserve"> AM; </w:t>
      </w:r>
      <w:r w:rsidR="0044647B">
        <w:rPr>
          <w:rFonts w:ascii="Arial" w:eastAsia="Times New Roman" w:hAnsi="Arial" w:cs="Arial"/>
          <w:b/>
          <w:bCs/>
          <w:color w:val="000000"/>
          <w:sz w:val="36"/>
          <w:szCs w:val="36"/>
        </w:rPr>
        <w:t>Cons</w:t>
      </w:r>
      <w:r w:rsidR="00AB11EF">
        <w:rPr>
          <w:rFonts w:ascii="Arial" w:eastAsia="Times New Roman" w:hAnsi="Arial" w:cs="Arial"/>
          <w:b/>
          <w:bCs/>
          <w:color w:val="000000"/>
          <w:sz w:val="36"/>
          <w:szCs w:val="36"/>
        </w:rPr>
        <w:t>ul</w:t>
      </w:r>
      <w:r w:rsidR="0044647B">
        <w:rPr>
          <w:rFonts w:ascii="Arial" w:eastAsia="Times New Roman" w:hAnsi="Arial" w:cs="Arial"/>
          <w:b/>
          <w:bCs/>
          <w:color w:val="000000"/>
          <w:sz w:val="36"/>
          <w:szCs w:val="36"/>
        </w:rPr>
        <w:t xml:space="preserve">tant vascular surgeon; </w:t>
      </w:r>
      <w:proofErr w:type="spellStart"/>
      <w:r w:rsidR="0044647B">
        <w:rPr>
          <w:rFonts w:ascii="Arial" w:eastAsia="Times New Roman" w:hAnsi="Arial" w:cs="Arial"/>
          <w:b/>
          <w:bCs/>
          <w:color w:val="000000"/>
          <w:sz w:val="36"/>
          <w:szCs w:val="36"/>
        </w:rPr>
        <w:t>Matarya</w:t>
      </w:r>
      <w:proofErr w:type="spellEnd"/>
      <w:r w:rsidR="00256139">
        <w:rPr>
          <w:rFonts w:ascii="Arial" w:eastAsia="Times New Roman" w:hAnsi="Arial" w:cs="Arial"/>
          <w:b/>
          <w:bCs/>
          <w:color w:val="000000"/>
          <w:sz w:val="36"/>
          <w:szCs w:val="36"/>
        </w:rPr>
        <w:t xml:space="preserve"> </w:t>
      </w:r>
      <w:r w:rsidR="0044647B">
        <w:rPr>
          <w:rFonts w:ascii="Arial" w:eastAsia="Times New Roman" w:hAnsi="Arial" w:cs="Arial"/>
          <w:b/>
          <w:bCs/>
          <w:color w:val="000000"/>
          <w:sz w:val="36"/>
          <w:szCs w:val="36"/>
        </w:rPr>
        <w:t xml:space="preserve">Teaching </w:t>
      </w:r>
      <w:r w:rsidR="00D76DF8">
        <w:rPr>
          <w:rFonts w:ascii="Arial" w:eastAsia="Times New Roman" w:hAnsi="Arial" w:cs="Arial"/>
          <w:b/>
          <w:bCs/>
          <w:color w:val="000000"/>
          <w:sz w:val="36"/>
          <w:szCs w:val="36"/>
        </w:rPr>
        <w:t>Hospital; Cairo; Egypt.</w:t>
      </w:r>
    </w:p>
    <w:p w:rsidR="002167AD" w:rsidRPr="002167AD" w:rsidRDefault="002167AD" w:rsidP="002167AD">
      <w:pPr>
        <w:divId w:val="1214655665"/>
        <w:rPr>
          <w:rFonts w:ascii="Arial" w:hAnsi="Arial" w:cs="Arial"/>
          <w:color w:val="000000"/>
          <w:sz w:val="21"/>
          <w:szCs w:val="21"/>
        </w:rPr>
      </w:pPr>
      <w:r w:rsidRPr="002167AD">
        <w:rPr>
          <w:rFonts w:ascii="Arial" w:hAnsi="Arial" w:cs="Arial"/>
          <w:color w:val="000000"/>
          <w:sz w:val="21"/>
          <w:szCs w:val="21"/>
        </w:rPr>
        <w:t>abstract</w:t>
      </w:r>
    </w:p>
    <w:p w:rsidR="002167AD" w:rsidRPr="002167AD" w:rsidRDefault="003F2B35" w:rsidP="002628C2">
      <w:pPr>
        <w:jc w:val="both"/>
        <w:divId w:val="1214655665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 w:hint="cs"/>
          <w:color w:val="000000"/>
          <w:sz w:val="21"/>
          <w:szCs w:val="21"/>
        </w:rPr>
        <w:t>Objective;</w:t>
      </w:r>
      <w:r w:rsidR="002167AD" w:rsidRPr="002167AD">
        <w:rPr>
          <w:rFonts w:ascii="Arial" w:hAnsi="Arial" w:cs="Arial"/>
          <w:color w:val="000000"/>
          <w:sz w:val="21"/>
          <w:szCs w:val="21"/>
        </w:rPr>
        <w:t>; to evaluate the efficiency of the hemodialysis catheter in the femoral tunnel as durable access for patients with hemodialysis.</w:t>
      </w:r>
    </w:p>
    <w:p w:rsidR="002167AD" w:rsidRPr="002167AD" w:rsidRDefault="002167AD" w:rsidP="001471F9">
      <w:pPr>
        <w:jc w:val="both"/>
        <w:divId w:val="1214655665"/>
        <w:rPr>
          <w:rFonts w:ascii="Arial" w:hAnsi="Arial" w:cs="Arial"/>
          <w:color w:val="000000"/>
          <w:sz w:val="21"/>
          <w:szCs w:val="21"/>
        </w:rPr>
      </w:pPr>
      <w:r w:rsidRPr="002167AD">
        <w:rPr>
          <w:rFonts w:ascii="Arial" w:hAnsi="Arial" w:cs="Arial"/>
          <w:color w:val="000000"/>
          <w:sz w:val="21"/>
          <w:szCs w:val="21"/>
        </w:rPr>
        <w:t>Introduction; Vascular access (VA) continues to be the keystone in cases requiring hemodialysis (HD). When the choices of arteri</w:t>
      </w:r>
      <w:r w:rsidR="00C31E76">
        <w:rPr>
          <w:rFonts w:ascii="Arial" w:hAnsi="Arial" w:cs="Arial"/>
          <w:color w:val="000000"/>
          <w:sz w:val="21"/>
          <w:szCs w:val="21"/>
        </w:rPr>
        <w:t xml:space="preserve">al venous fistula, </w:t>
      </w:r>
      <w:r w:rsidR="00E22F58">
        <w:rPr>
          <w:rFonts w:ascii="Arial" w:hAnsi="Arial" w:cs="Arial" w:hint="cs"/>
          <w:color w:val="000000"/>
          <w:sz w:val="21"/>
          <w:szCs w:val="21"/>
        </w:rPr>
        <w:t>grafts</w:t>
      </w:r>
      <w:r w:rsidRPr="002167AD">
        <w:rPr>
          <w:rFonts w:ascii="Arial" w:hAnsi="Arial" w:cs="Arial" w:hint="cs"/>
          <w:color w:val="000000"/>
          <w:sz w:val="21"/>
          <w:szCs w:val="21"/>
        </w:rPr>
        <w:t>,</w:t>
      </w:r>
      <w:r w:rsidRPr="002167AD">
        <w:rPr>
          <w:rFonts w:ascii="Arial" w:hAnsi="Arial" w:cs="Arial"/>
          <w:color w:val="000000"/>
          <w:sz w:val="21"/>
          <w:szCs w:val="21"/>
        </w:rPr>
        <w:t xml:space="preserve"> and thoracic central catheters are de</w:t>
      </w:r>
      <w:r w:rsidR="00E22F58">
        <w:rPr>
          <w:rFonts w:ascii="Arial" w:hAnsi="Arial" w:cs="Arial"/>
          <w:color w:val="000000"/>
          <w:sz w:val="21"/>
          <w:szCs w:val="21"/>
        </w:rPr>
        <w:t xml:space="preserve">pleted, the case's </w:t>
      </w:r>
      <w:r w:rsidR="00E22F58">
        <w:rPr>
          <w:rFonts w:ascii="Arial" w:hAnsi="Arial" w:cs="Arial" w:hint="cs"/>
          <w:color w:val="000000"/>
          <w:sz w:val="21"/>
          <w:szCs w:val="21"/>
        </w:rPr>
        <w:t xml:space="preserve">life </w:t>
      </w:r>
      <w:r w:rsidRPr="002167AD">
        <w:rPr>
          <w:rFonts w:ascii="Arial" w:hAnsi="Arial" w:cs="Arial"/>
          <w:color w:val="000000"/>
          <w:sz w:val="21"/>
          <w:szCs w:val="21"/>
        </w:rPr>
        <w:t>becomes at risk. The extra options are limited to transplantation, peritoneal dia</w:t>
      </w:r>
      <w:r w:rsidR="003974C4">
        <w:rPr>
          <w:rFonts w:ascii="Arial" w:hAnsi="Arial" w:cs="Arial"/>
          <w:color w:val="000000"/>
          <w:sz w:val="21"/>
          <w:szCs w:val="21"/>
        </w:rPr>
        <w:t>lysis, insertion of the</w:t>
      </w:r>
      <w:r w:rsidRPr="002167AD">
        <w:rPr>
          <w:rFonts w:ascii="Arial" w:hAnsi="Arial" w:cs="Arial" w:hint="cs"/>
          <w:color w:val="000000"/>
          <w:sz w:val="21"/>
          <w:szCs w:val="21"/>
        </w:rPr>
        <w:t xml:space="preserve"> </w:t>
      </w:r>
      <w:proofErr w:type="spellStart"/>
      <w:r w:rsidR="003974C4">
        <w:rPr>
          <w:rFonts w:ascii="Arial" w:hAnsi="Arial" w:cs="Arial"/>
          <w:color w:val="000000"/>
          <w:sz w:val="21"/>
          <w:szCs w:val="21"/>
        </w:rPr>
        <w:t>translumbar</w:t>
      </w:r>
      <w:proofErr w:type="spellEnd"/>
      <w:r w:rsidR="003974C4">
        <w:rPr>
          <w:rFonts w:ascii="Arial" w:hAnsi="Arial" w:cs="Arial" w:hint="cs"/>
          <w:color w:val="000000"/>
          <w:sz w:val="21"/>
          <w:szCs w:val="21"/>
        </w:rPr>
        <w:t xml:space="preserve"> and femoral </w:t>
      </w:r>
      <w:r w:rsidRPr="002167AD">
        <w:rPr>
          <w:rFonts w:ascii="Arial" w:hAnsi="Arial" w:cs="Arial"/>
          <w:color w:val="000000"/>
          <w:sz w:val="21"/>
          <w:szCs w:val="21"/>
        </w:rPr>
        <w:t xml:space="preserve">catheter. The Last may, in lots of cases, be the best choice. We present our experience at the </w:t>
      </w:r>
      <w:proofErr w:type="spellStart"/>
      <w:r w:rsidRPr="002167AD">
        <w:rPr>
          <w:rFonts w:ascii="Arial" w:hAnsi="Arial" w:cs="Arial"/>
          <w:color w:val="000000"/>
          <w:sz w:val="21"/>
          <w:szCs w:val="21"/>
        </w:rPr>
        <w:t>Matarya</w:t>
      </w:r>
      <w:proofErr w:type="spellEnd"/>
      <w:r w:rsidRPr="002167AD">
        <w:rPr>
          <w:rFonts w:ascii="Arial" w:hAnsi="Arial" w:cs="Arial"/>
          <w:color w:val="000000"/>
          <w:sz w:val="21"/>
          <w:szCs w:val="21"/>
        </w:rPr>
        <w:t xml:space="preserve"> Teaching Hospital with 17 cases where all vascul</w:t>
      </w:r>
      <w:r w:rsidR="003C70D5">
        <w:rPr>
          <w:rFonts w:ascii="Arial" w:hAnsi="Arial" w:cs="Arial"/>
          <w:color w:val="000000"/>
          <w:sz w:val="21"/>
          <w:szCs w:val="21"/>
        </w:rPr>
        <w:t xml:space="preserve">ar accesses </w:t>
      </w:r>
      <w:r w:rsidR="003C70D5">
        <w:rPr>
          <w:rFonts w:ascii="Arial" w:hAnsi="Arial" w:cs="Arial" w:hint="cs"/>
          <w:color w:val="000000"/>
          <w:sz w:val="21"/>
          <w:szCs w:val="21"/>
        </w:rPr>
        <w:t xml:space="preserve">was depleted </w:t>
      </w:r>
      <w:r w:rsidRPr="002167AD">
        <w:rPr>
          <w:rFonts w:ascii="Arial" w:hAnsi="Arial" w:cs="Arial"/>
          <w:color w:val="000000"/>
          <w:sz w:val="21"/>
          <w:szCs w:val="21"/>
        </w:rPr>
        <w:t>a</w:t>
      </w:r>
      <w:r w:rsidR="00D425E5">
        <w:rPr>
          <w:rFonts w:ascii="Arial" w:hAnsi="Arial" w:cs="Arial"/>
          <w:color w:val="000000"/>
          <w:sz w:val="21"/>
          <w:szCs w:val="21"/>
        </w:rPr>
        <w:t>nd no</w:t>
      </w:r>
      <w:r w:rsidR="00D425E5">
        <w:rPr>
          <w:rFonts w:ascii="Arial" w:hAnsi="Arial" w:cs="Arial" w:hint="cs"/>
          <w:color w:val="000000"/>
          <w:sz w:val="21"/>
          <w:szCs w:val="21"/>
        </w:rPr>
        <w:t xml:space="preserve"> tra</w:t>
      </w:r>
      <w:r w:rsidR="008A7024">
        <w:rPr>
          <w:rFonts w:ascii="Arial" w:hAnsi="Arial" w:cs="Arial" w:hint="cs"/>
          <w:color w:val="000000"/>
          <w:sz w:val="21"/>
          <w:szCs w:val="21"/>
        </w:rPr>
        <w:t xml:space="preserve">nsplant </w:t>
      </w:r>
      <w:r w:rsidR="00D425E5">
        <w:rPr>
          <w:rFonts w:ascii="Arial" w:hAnsi="Arial" w:cs="Arial"/>
          <w:color w:val="000000"/>
          <w:sz w:val="21"/>
          <w:szCs w:val="21"/>
        </w:rPr>
        <w:t xml:space="preserve">or peritoneal </w:t>
      </w:r>
      <w:r w:rsidR="00D425E5">
        <w:rPr>
          <w:rFonts w:ascii="Arial" w:hAnsi="Arial" w:cs="Arial" w:hint="cs"/>
          <w:color w:val="000000"/>
          <w:sz w:val="21"/>
          <w:szCs w:val="21"/>
        </w:rPr>
        <w:t xml:space="preserve">dialysis </w:t>
      </w:r>
      <w:r w:rsidRPr="002167AD">
        <w:rPr>
          <w:rFonts w:ascii="Arial" w:hAnsi="Arial" w:cs="Arial"/>
          <w:color w:val="000000"/>
          <w:sz w:val="21"/>
          <w:szCs w:val="21"/>
        </w:rPr>
        <w:t>could be</w:t>
      </w:r>
      <w:r w:rsidR="008A7024">
        <w:rPr>
          <w:rFonts w:ascii="Arial" w:hAnsi="Arial" w:cs="Arial"/>
          <w:color w:val="000000"/>
          <w:sz w:val="21"/>
          <w:szCs w:val="21"/>
        </w:rPr>
        <w:t xml:space="preserve"> performed. Therefore, we </w:t>
      </w:r>
      <w:r w:rsidR="008A7024">
        <w:rPr>
          <w:rFonts w:ascii="Arial" w:hAnsi="Arial" w:cs="Arial" w:hint="cs"/>
          <w:color w:val="000000"/>
          <w:sz w:val="21"/>
          <w:szCs w:val="21"/>
        </w:rPr>
        <w:t>chose</w:t>
      </w:r>
      <w:r w:rsidRPr="002167AD">
        <w:rPr>
          <w:rFonts w:ascii="Arial" w:hAnsi="Arial" w:cs="Arial" w:hint="cs"/>
          <w:color w:val="000000"/>
          <w:sz w:val="21"/>
          <w:szCs w:val="21"/>
        </w:rPr>
        <w:t xml:space="preserve"> </w:t>
      </w:r>
      <w:r w:rsidRPr="002167AD">
        <w:rPr>
          <w:rFonts w:ascii="Arial" w:hAnsi="Arial" w:cs="Arial"/>
          <w:color w:val="000000"/>
          <w:sz w:val="21"/>
          <w:szCs w:val="21"/>
        </w:rPr>
        <w:t xml:space="preserve">the femoral tunnel catheter (FTC) as VA durable and unique. The median follow-up period was 10 months (2-14 months). The median age of cases was 55 (40-70) years. In ten cases, a </w:t>
      </w:r>
      <w:proofErr w:type="spellStart"/>
      <w:r w:rsidRPr="002167AD">
        <w:rPr>
          <w:rFonts w:ascii="Arial" w:hAnsi="Arial" w:cs="Arial"/>
          <w:color w:val="000000"/>
          <w:sz w:val="21"/>
          <w:szCs w:val="21"/>
        </w:rPr>
        <w:t>Permcath</w:t>
      </w:r>
      <w:proofErr w:type="spellEnd"/>
      <w:r w:rsidRPr="002167AD">
        <w:rPr>
          <w:rFonts w:ascii="Arial" w:hAnsi="Arial" w:cs="Arial"/>
          <w:color w:val="000000"/>
          <w:sz w:val="21"/>
          <w:szCs w:val="21"/>
        </w:rPr>
        <w:t xml:space="preserve"> (Hickman access system, BARD) and the other seven are inserted (DURAFLOW, from </w:t>
      </w:r>
      <w:proofErr w:type="spellStart"/>
      <w:r w:rsidRPr="002167AD">
        <w:rPr>
          <w:rFonts w:ascii="Arial" w:hAnsi="Arial" w:cs="Arial"/>
          <w:color w:val="000000"/>
          <w:sz w:val="21"/>
          <w:szCs w:val="21"/>
        </w:rPr>
        <w:t>AngioDynamics</w:t>
      </w:r>
      <w:proofErr w:type="spellEnd"/>
      <w:r w:rsidRPr="002167AD">
        <w:rPr>
          <w:rFonts w:ascii="Arial" w:hAnsi="Arial" w:cs="Arial"/>
          <w:color w:val="000000"/>
          <w:sz w:val="21"/>
          <w:szCs w:val="21"/>
        </w:rPr>
        <w:t>). All cases received warfarin after passing LMWH to prevent th</w:t>
      </w:r>
      <w:r w:rsidR="001B2F93">
        <w:rPr>
          <w:rFonts w:ascii="Arial" w:hAnsi="Arial" w:cs="Arial"/>
          <w:color w:val="000000"/>
          <w:sz w:val="21"/>
          <w:szCs w:val="21"/>
        </w:rPr>
        <w:t xml:space="preserve">rombosis of the catheter. </w:t>
      </w:r>
      <w:r w:rsidRPr="002167AD">
        <w:rPr>
          <w:rFonts w:ascii="Arial" w:hAnsi="Arial" w:cs="Arial"/>
          <w:color w:val="000000"/>
          <w:sz w:val="21"/>
          <w:szCs w:val="21"/>
        </w:rPr>
        <w:t xml:space="preserve">All catheters were functional for 2 months. The mean blood flow was 230 ml / min (200-260 ml / min). Two cases died at 5 and 12 months respectively with a functional catheter due to </w:t>
      </w:r>
      <w:r w:rsidRPr="002167AD">
        <w:rPr>
          <w:rFonts w:ascii="Arial" w:hAnsi="Arial" w:cs="Arial"/>
          <w:color w:val="000000"/>
          <w:sz w:val="21"/>
          <w:szCs w:val="21"/>
        </w:rPr>
        <w:t>causes not directly related to the FTC. In a patient, the site of the catheter was changed to 5 months due t</w:t>
      </w:r>
      <w:r w:rsidR="004772B3">
        <w:rPr>
          <w:rFonts w:ascii="Arial" w:hAnsi="Arial" w:cs="Arial"/>
          <w:color w:val="000000"/>
          <w:sz w:val="21"/>
          <w:szCs w:val="21"/>
        </w:rPr>
        <w:t>o an accidental catheter</w:t>
      </w:r>
      <w:r w:rsidR="006B1502">
        <w:rPr>
          <w:rFonts w:ascii="Arial" w:hAnsi="Arial" w:cs="Arial" w:hint="cs"/>
          <w:color w:val="000000"/>
          <w:sz w:val="21"/>
          <w:szCs w:val="21"/>
        </w:rPr>
        <w:t xml:space="preserve"> </w:t>
      </w:r>
      <w:r w:rsidR="006B1502">
        <w:rPr>
          <w:rFonts w:ascii="Arial" w:hAnsi="Arial" w:cs="Arial"/>
          <w:color w:val="000000"/>
          <w:sz w:val="21"/>
          <w:szCs w:val="21"/>
        </w:rPr>
        <w:t>slipping</w:t>
      </w:r>
      <w:r w:rsidR="006B1502">
        <w:rPr>
          <w:rFonts w:ascii="Arial" w:hAnsi="Arial" w:cs="Arial" w:hint="cs"/>
          <w:color w:val="000000"/>
          <w:sz w:val="21"/>
          <w:szCs w:val="21"/>
        </w:rPr>
        <w:t xml:space="preserve">. </w:t>
      </w:r>
      <w:r w:rsidRPr="002167AD">
        <w:rPr>
          <w:rFonts w:ascii="Arial" w:hAnsi="Arial" w:cs="Arial"/>
          <w:color w:val="000000"/>
          <w:sz w:val="21"/>
          <w:szCs w:val="21"/>
        </w:rPr>
        <w:t xml:space="preserve">A catheter has been changed because the flow has become inadequate after 8 months. No patient had deep vein thrombosis. In one patient, the catheter was operated for 14 months after insertion. Four patients, the catheter was , removed ; </w:t>
      </w:r>
      <w:proofErr w:type="spellStart"/>
      <w:r w:rsidRPr="002167AD">
        <w:rPr>
          <w:rFonts w:ascii="Arial" w:hAnsi="Arial" w:cs="Arial"/>
          <w:color w:val="000000"/>
          <w:sz w:val="21"/>
          <w:szCs w:val="21"/>
        </w:rPr>
        <w:t>respectiv</w:t>
      </w:r>
      <w:r w:rsidR="001471F9">
        <w:rPr>
          <w:rFonts w:ascii="Arial" w:hAnsi="Arial" w:cs="Arial"/>
          <w:color w:val="000000"/>
          <w:sz w:val="21"/>
          <w:szCs w:val="21"/>
        </w:rPr>
        <w:t>ly</w:t>
      </w:r>
      <w:proofErr w:type="spellEnd"/>
      <w:r w:rsidR="001471F9">
        <w:rPr>
          <w:rFonts w:ascii="Arial" w:hAnsi="Arial" w:cs="Arial"/>
          <w:color w:val="000000"/>
          <w:sz w:val="21"/>
          <w:szCs w:val="21"/>
        </w:rPr>
        <w:t>,</w:t>
      </w:r>
    </w:p>
    <w:p w:rsidR="001D1211" w:rsidRDefault="002167AD" w:rsidP="001D1211">
      <w:pPr>
        <w:jc w:val="both"/>
        <w:divId w:val="1214655665"/>
        <w:rPr>
          <w:rFonts w:ascii="Arial" w:hAnsi="Arial" w:cs="Arial"/>
          <w:color w:val="000000"/>
          <w:sz w:val="21"/>
          <w:szCs w:val="21"/>
          <w:rtl/>
        </w:rPr>
      </w:pPr>
      <w:r w:rsidRPr="002167AD">
        <w:rPr>
          <w:rFonts w:ascii="Arial" w:hAnsi="Arial" w:cs="Arial"/>
          <w:color w:val="000000"/>
          <w:sz w:val="21"/>
          <w:szCs w:val="21"/>
        </w:rPr>
        <w:t>We conclude that the femoral catheter in the tunnel is a stable option in cases with depleted VA.</w:t>
      </w:r>
    </w:p>
    <w:tbl>
      <w:tblPr>
        <w:tblW w:w="5353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5"/>
      </w:tblGrid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A6FEB" w:rsidRPr="0098473F" w:rsidRDefault="002B1774" w:rsidP="002B1774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 w:hint="cs"/>
                <w:color w:val="000000"/>
                <w:sz w:val="21"/>
                <w:szCs w:val="21"/>
              </w:rPr>
              <w:t>References</w:t>
            </w:r>
            <w:r w:rsidR="00997672">
              <w:rPr>
                <w:rFonts w:ascii="Arial" w:hAnsi="Arial" w:cs="Arial" w:hint="cs"/>
                <w:color w:val="000000"/>
                <w:sz w:val="21"/>
                <w:szCs w:val="21"/>
                <w:rtl/>
              </w:rPr>
              <w:t xml:space="preserve">: </w:t>
            </w:r>
            <w:r w:rsidR="004A6FEB"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Pervez A, Zaman F, Aslam A, et al. Port catheter placement by nephrologists in an interventional nephrology training program. </w:t>
            </w:r>
            <w:proofErr w:type="spellStart"/>
            <w:r w:rsidR="004A6FEB" w:rsidRPr="0098473F">
              <w:rPr>
                <w:rFonts w:ascii="Arial" w:hAnsi="Arial" w:cs="Arial"/>
                <w:color w:val="000000"/>
                <w:sz w:val="21"/>
                <w:szCs w:val="21"/>
              </w:rPr>
              <w:t>Semin</w:t>
            </w:r>
            <w:proofErr w:type="spellEnd"/>
            <w:r w:rsidR="004A6FEB"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Dial 2004;71:61-4.  </w:t>
            </w:r>
            <w:r w:rsidR="004A6FEB" w:rsidRPr="0098473F"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416EE1A" wp14:editId="2EB93F1A">
                  <wp:extent cx="84455" cy="95250"/>
                  <wp:effectExtent l="0" t="0" r="0" b="0"/>
                  <wp:docPr id="32" name="Picture 32" descr="Back to cited text no. 1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51" descr="Back to cited text no.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A6FEB" w:rsidRPr="0098473F">
              <w:rPr>
                <w:rFonts w:ascii="Arial" w:hAnsi="Arial" w:cs="Arial"/>
                <w:color w:val="000000"/>
                <w:sz w:val="21"/>
                <w:szCs w:val="21"/>
              </w:rPr>
              <w:t>    </w:t>
            </w:r>
          </w:p>
        </w:tc>
      </w:tr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A6FEB" w:rsidRPr="0098473F" w:rsidRDefault="004A6FEB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A6FEB" w:rsidRPr="0098473F" w:rsidRDefault="004A6FEB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Mermel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LA. Prevention of intravascular catheter-related infection. Ann Intern Med 2000;132:391-402.  </w:t>
            </w:r>
            <w:r w:rsidRPr="0098473F"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3B69267" wp14:editId="5E1B379B">
                  <wp:extent cx="84455" cy="95250"/>
                  <wp:effectExtent l="0" t="0" r="0" b="0"/>
                  <wp:docPr id="12" name="Picture 12" descr="Back to cited text no. 21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1" descr="Back to cited text no.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  [</w:t>
            </w:r>
            <w:hyperlink r:id="rId8" w:tgtFrame="_blank" w:history="1">
              <w:r w:rsidRPr="0098473F">
                <w:rPr>
                  <w:color w:val="000000"/>
                  <w:sz w:val="21"/>
                  <w:szCs w:val="21"/>
                </w:rPr>
                <w:t>PUBMED</w:t>
              </w:r>
            </w:hyperlink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]  [</w:t>
            </w:r>
            <w:hyperlink r:id="rId9" w:tgtFrame="_blank" w:history="1">
              <w:r w:rsidRPr="0098473F">
                <w:rPr>
                  <w:color w:val="000000"/>
                  <w:sz w:val="21"/>
                  <w:szCs w:val="21"/>
                </w:rPr>
                <w:t>FULLTEXT</w:t>
              </w:r>
            </w:hyperlink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]</w:t>
            </w:r>
          </w:p>
        </w:tc>
      </w:tr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A6FEB" w:rsidRPr="0098473F" w:rsidRDefault="004A6FEB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Daniel T, </w:t>
            </w: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Murai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MD. Are femoral </w:t>
            </w: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broviac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catheters effective and safe? A prospective comparison of femoral and jugular </w:t>
            </w: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boviac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catheters in newborn infants. Chest 2002;121:1527-30.  </w:t>
            </w:r>
            <w:r w:rsidRPr="0098473F"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5312C5E" wp14:editId="5A80040A">
                  <wp:extent cx="84455" cy="95250"/>
                  <wp:effectExtent l="0" t="0" r="0" b="0"/>
                  <wp:docPr id="11" name="Picture 11" descr="Back to cited text no. 22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2" descr="Back to cited text no.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    </w:t>
            </w:r>
          </w:p>
        </w:tc>
      </w:tr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A6FEB" w:rsidRPr="0098473F" w:rsidRDefault="004A6FEB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Pierco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CM, Wade A, </w:t>
            </w: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Moke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Q, et al. Heparin-bonded central venous lines reduce thrombotic and infective complications in critically ill children. Intensive Care Med 2000;26:967-72.  </w:t>
            </w:r>
            <w:r w:rsidRPr="0098473F"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C27D111" wp14:editId="1E8C666C">
                  <wp:extent cx="84455" cy="95250"/>
                  <wp:effectExtent l="0" t="0" r="0" b="0"/>
                  <wp:docPr id="10" name="Picture 10" descr="Back to cited text no. 23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3" descr="Back to cited text no.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    </w:t>
            </w:r>
          </w:p>
        </w:tc>
      </w:tr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A6FEB" w:rsidRDefault="004A6FEB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Joynt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GM, Kew J, </w:t>
            </w: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Gomersall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CD, et al. Deep venous thrombosis caused by femoral venous catheters in critically ill adult patients. Chest 2000;117:178-83.  </w:t>
            </w:r>
            <w:r w:rsidRPr="0098473F"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B4210C8" wp14:editId="008A9071">
                  <wp:extent cx="84455" cy="95250"/>
                  <wp:effectExtent l="0" t="0" r="0" b="0"/>
                  <wp:docPr id="5" name="Picture 5" descr="Back to cited text no. 28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8" descr="Back to cited text no.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  [</w:t>
            </w:r>
            <w:hyperlink r:id="rId13" w:tgtFrame="_blank" w:history="1">
              <w:r w:rsidRPr="0098473F">
                <w:rPr>
                  <w:color w:val="000000"/>
                  <w:sz w:val="21"/>
                  <w:szCs w:val="21"/>
                </w:rPr>
                <w:t>PUBMED</w:t>
              </w:r>
            </w:hyperlink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]  [</w:t>
            </w:r>
            <w:hyperlink r:id="rId14" w:tgtFrame="_blank" w:history="1">
              <w:r w:rsidRPr="0098473F">
                <w:rPr>
                  <w:color w:val="000000"/>
                  <w:sz w:val="21"/>
                  <w:szCs w:val="21"/>
                </w:rPr>
                <w:t>FULLTEXT</w:t>
              </w:r>
            </w:hyperlink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]</w:t>
            </w:r>
          </w:p>
          <w:p w:rsidR="00CC05BC" w:rsidRDefault="00707047" w:rsidP="00CC05BC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 w:hint="cs"/>
                <w:color w:val="000000"/>
                <w:sz w:val="21"/>
                <w:szCs w:val="21"/>
              </w:rPr>
              <w:t>Biography</w:t>
            </w:r>
            <w:r>
              <w:rPr>
                <w:rFonts w:ascii="Arial" w:hAnsi="Arial" w:cs="Arial" w:hint="cs"/>
                <w:color w:val="000000"/>
                <w:sz w:val="21"/>
                <w:szCs w:val="21"/>
                <w:rtl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color w:val="000000"/>
                <w:sz w:val="21"/>
                <w:szCs w:val="21"/>
              </w:rPr>
              <w:t>Herzallah</w:t>
            </w:r>
            <w:proofErr w:type="spellEnd"/>
            <w:r>
              <w:rPr>
                <w:rFonts w:ascii="Arial" w:hAnsi="Arial" w:cs="Arial" w:hint="cs"/>
                <w:color w:val="000000"/>
                <w:sz w:val="21"/>
                <w:szCs w:val="21"/>
              </w:rPr>
              <w:t xml:space="preserve"> AM</w:t>
            </w:r>
            <w:r>
              <w:rPr>
                <w:rFonts w:ascii="Arial" w:hAnsi="Arial" w:cs="Arial" w:hint="cs"/>
                <w:color w:val="000000"/>
                <w:sz w:val="21"/>
                <w:szCs w:val="21"/>
                <w:rtl/>
              </w:rPr>
              <w:t>.</w:t>
            </w:r>
            <w:r w:rsidR="00CC05BC">
              <w:rPr>
                <w:rFonts w:ascii="Arial" w:hAnsi="Arial" w:cs="Arial" w:hint="cs"/>
                <w:color w:val="000000"/>
                <w:sz w:val="21"/>
                <w:szCs w:val="21"/>
              </w:rPr>
              <w:t xml:space="preserve">consultant vascular </w:t>
            </w:r>
            <w:r w:rsidR="00AD79B1">
              <w:rPr>
                <w:rFonts w:ascii="Arial" w:hAnsi="Arial" w:cs="Arial" w:hint="cs"/>
                <w:color w:val="000000"/>
                <w:sz w:val="21"/>
                <w:szCs w:val="21"/>
              </w:rPr>
              <w:t>surgeon</w:t>
            </w:r>
          </w:p>
          <w:p w:rsidR="00AD79B1" w:rsidRDefault="00AD79B1" w:rsidP="00CC05BC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 w:hint="cs"/>
                <w:color w:val="000000"/>
                <w:sz w:val="21"/>
                <w:szCs w:val="21"/>
              </w:rPr>
              <w:t>EMAIL: assemherz010@hotmail.com</w:t>
            </w:r>
          </w:p>
          <w:p w:rsidR="00AA1490" w:rsidRPr="0098473F" w:rsidRDefault="00AA1490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A6FEB" w:rsidRPr="0098473F" w:rsidRDefault="004A6FEB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8473F">
              <w:rPr>
                <w:rFonts w:ascii="Arial" w:hAnsi="Arial" w:cs="Arial" w:hint="cs"/>
                <w:color w:val="000000"/>
                <w:sz w:val="21"/>
                <w:szCs w:val="21"/>
              </w:rPr>
              <w:lastRenderedPageBreak/>
              <w:t>.</w:t>
            </w:r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  </w:t>
            </w:r>
            <w:r w:rsidRPr="0098473F"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ED3F2F9" wp14:editId="041D35F2">
                  <wp:extent cx="84455" cy="95250"/>
                  <wp:effectExtent l="0" t="0" r="0" b="0"/>
                  <wp:docPr id="4" name="Picture 4" descr="Back to cited text no. 29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9" descr="Back to cited text no.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   </w:t>
            </w:r>
          </w:p>
        </w:tc>
      </w:tr>
    </w:tbl>
    <w:p w:rsidR="00AF2F4B" w:rsidRDefault="00AF2F4B" w:rsidP="002628C2">
      <w:pPr>
        <w:pStyle w:val="a3"/>
        <w:shd w:val="clear" w:color="auto" w:fill="FFFFFF"/>
        <w:spacing w:before="0" w:beforeAutospacing="0" w:after="120" w:afterAutospacing="0" w:line="369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AF2F4B" w:rsidRDefault="00AF2F4B" w:rsidP="002628C2">
      <w:pPr>
        <w:pStyle w:val="a3"/>
        <w:shd w:val="clear" w:color="auto" w:fill="FFFFFF"/>
        <w:spacing w:before="0" w:beforeAutospacing="0" w:after="120" w:afterAutospacing="0" w:line="369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AF2F4B" w:rsidRDefault="00AF2F4B" w:rsidP="00AF2F4B">
      <w:pPr>
        <w:pStyle w:val="a3"/>
        <w:shd w:val="clear" w:color="auto" w:fill="FFFFFF"/>
        <w:spacing w:before="0" w:beforeAutospacing="0" w:after="120" w:afterAutospacing="0" w:line="369" w:lineRule="atLeast"/>
        <w:rPr>
          <w:rFonts w:ascii="Arial" w:hAnsi="Arial" w:cs="Arial"/>
          <w:color w:val="000000"/>
          <w:sz w:val="21"/>
          <w:szCs w:val="21"/>
        </w:rPr>
      </w:pPr>
    </w:p>
    <w:p w:rsidR="00AF2F4B" w:rsidRPr="00EB5B9A" w:rsidRDefault="00AF2F4B" w:rsidP="00AF2F4B">
      <w:pPr>
        <w:pStyle w:val="a3"/>
        <w:shd w:val="clear" w:color="auto" w:fill="FFFFFF"/>
        <w:spacing w:before="0" w:beforeAutospacing="0" w:after="120" w:afterAutospacing="0" w:line="369" w:lineRule="atLeast"/>
        <w:rPr>
          <w:rFonts w:ascii="Arial" w:hAnsi="Arial" w:cs="Arial"/>
          <w:color w:val="000000"/>
          <w:sz w:val="21"/>
          <w:szCs w:val="21"/>
        </w:rPr>
      </w:pPr>
    </w:p>
    <w:tbl>
      <w:tblPr>
        <w:tblW w:w="304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"/>
      </w:tblGrid>
      <w:tr w:rsidR="006677EB" w:rsidRPr="0098473F" w:rsidTr="006677EB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6677EB" w:rsidRPr="0098473F" w:rsidRDefault="006677EB" w:rsidP="0098473F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B5B9A">
              <w:rPr>
                <w:rFonts w:ascii="Arial" w:eastAsia="Times New Roman" w:hAnsi="Arial" w:cs="Arial"/>
                <w:color w:val="000000"/>
              </w:rPr>
              <w:br/>
            </w:r>
            <w:r w:rsidRPr="00AF2F4B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</w:p>
        </w:tc>
      </w:tr>
      <w:tr w:rsidR="006677EB" w:rsidRPr="0098473F" w:rsidTr="006677EB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6677EB" w:rsidRPr="0098473F" w:rsidRDefault="006677EB" w:rsidP="0098473F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:rsidR="00776D9F" w:rsidRPr="0098473F" w:rsidRDefault="00776D9F" w:rsidP="0098473F">
      <w:pPr>
        <w:pStyle w:val="a3"/>
        <w:shd w:val="clear" w:color="auto" w:fill="FFFFFF"/>
        <w:spacing w:before="0" w:beforeAutospacing="0" w:after="120" w:afterAutospacing="0" w:line="369" w:lineRule="atLeast"/>
        <w:rPr>
          <w:rFonts w:ascii="Arial" w:hAnsi="Arial" w:cs="Arial"/>
          <w:color w:val="000000"/>
          <w:sz w:val="21"/>
          <w:szCs w:val="21"/>
        </w:rPr>
      </w:pPr>
      <w:r w:rsidRPr="0098473F"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372CA955" wp14:editId="4768FB58">
                <wp:extent cx="5943600" cy="1270"/>
                <wp:effectExtent l="0" t="0" r="0" b="0"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D4EB5F" id="Rectangle 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" fillcolor="black" stroked="f">
                <w10:wrap anchorx="page"/>
                <w10:anchorlock/>
              </v:rect>
            </w:pict>
          </mc:Fallback>
        </mc:AlternateContent>
      </w:r>
    </w:p>
    <w:p w:rsidR="00776D9F" w:rsidRPr="0098473F" w:rsidRDefault="0098473F" w:rsidP="0098473F">
      <w:pPr>
        <w:pStyle w:val="a3"/>
        <w:shd w:val="clear" w:color="auto" w:fill="FFFFFF"/>
        <w:spacing w:before="0" w:beforeAutospacing="0" w:after="120" w:afterAutospacing="0" w:line="369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776D9F" w:rsidRPr="0098473F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2800F6E4" wp14:editId="480C552E">
            <wp:extent cx="173990" cy="173990"/>
            <wp:effectExtent l="0" t="0" r="0" b="0"/>
            <wp:docPr id="1" name="Picture 1" descr="Top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82" descr="To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7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D9F" w:rsidRPr="0098473F" w:rsidRDefault="00776D9F" w:rsidP="0098473F">
      <w:pPr>
        <w:pStyle w:val="a3"/>
        <w:shd w:val="clear" w:color="auto" w:fill="FFFFFF"/>
        <w:spacing w:before="0" w:beforeAutospacing="0" w:after="120" w:afterAutospacing="0" w:line="369" w:lineRule="atLeast"/>
        <w:rPr>
          <w:rFonts w:ascii="Arial" w:hAnsi="Arial" w:cs="Arial"/>
          <w:color w:val="000000"/>
          <w:sz w:val="21"/>
          <w:szCs w:val="21"/>
        </w:rPr>
      </w:pPr>
    </w:p>
    <w:p w:rsidR="00324F6E" w:rsidRPr="0098473F" w:rsidRDefault="00FF140E" w:rsidP="0098473F">
      <w:pPr>
        <w:pStyle w:val="a3"/>
        <w:shd w:val="clear" w:color="auto" w:fill="FFFFFF"/>
        <w:spacing w:before="0" w:beforeAutospacing="0" w:after="120" w:afterAutospacing="0" w:line="369" w:lineRule="atLeast"/>
        <w:rPr>
          <w:rFonts w:ascii="Arial" w:hAnsi="Arial" w:cs="Arial"/>
          <w:color w:val="000000"/>
          <w:sz w:val="21"/>
          <w:szCs w:val="21"/>
        </w:rPr>
      </w:pPr>
    </w:p>
    <w:sectPr w:rsidR="00324F6E" w:rsidRPr="0098473F" w:rsidSect="00AF2F4B">
      <w:pgSz w:w="12240" w:h="15840"/>
      <w:pgMar w:top="1134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D9F"/>
    <w:rsid w:val="00031CB8"/>
    <w:rsid w:val="0007524F"/>
    <w:rsid w:val="00087490"/>
    <w:rsid w:val="000F0326"/>
    <w:rsid w:val="0010048F"/>
    <w:rsid w:val="001471F9"/>
    <w:rsid w:val="001B2F93"/>
    <w:rsid w:val="001D1211"/>
    <w:rsid w:val="002167AD"/>
    <w:rsid w:val="002259FA"/>
    <w:rsid w:val="00236670"/>
    <w:rsid w:val="00247A70"/>
    <w:rsid w:val="00256139"/>
    <w:rsid w:val="002622DB"/>
    <w:rsid w:val="002628C2"/>
    <w:rsid w:val="0028172B"/>
    <w:rsid w:val="002B1774"/>
    <w:rsid w:val="002C1839"/>
    <w:rsid w:val="002C6564"/>
    <w:rsid w:val="0030666D"/>
    <w:rsid w:val="0035585C"/>
    <w:rsid w:val="0037445E"/>
    <w:rsid w:val="00382863"/>
    <w:rsid w:val="003974C4"/>
    <w:rsid w:val="003C70D5"/>
    <w:rsid w:val="003D1917"/>
    <w:rsid w:val="003D5F48"/>
    <w:rsid w:val="003F2B35"/>
    <w:rsid w:val="00402082"/>
    <w:rsid w:val="00412007"/>
    <w:rsid w:val="0041421C"/>
    <w:rsid w:val="004412CF"/>
    <w:rsid w:val="0044647B"/>
    <w:rsid w:val="00464FF7"/>
    <w:rsid w:val="004772B3"/>
    <w:rsid w:val="00482C5A"/>
    <w:rsid w:val="004A4084"/>
    <w:rsid w:val="004A6FEB"/>
    <w:rsid w:val="00513664"/>
    <w:rsid w:val="00525D8A"/>
    <w:rsid w:val="00541819"/>
    <w:rsid w:val="00563127"/>
    <w:rsid w:val="00590959"/>
    <w:rsid w:val="005B0CCC"/>
    <w:rsid w:val="005D223C"/>
    <w:rsid w:val="005E2DCF"/>
    <w:rsid w:val="005F6769"/>
    <w:rsid w:val="00661AF2"/>
    <w:rsid w:val="006677EB"/>
    <w:rsid w:val="00697967"/>
    <w:rsid w:val="006B1502"/>
    <w:rsid w:val="006D4911"/>
    <w:rsid w:val="006E03DC"/>
    <w:rsid w:val="006E1F01"/>
    <w:rsid w:val="006F27F4"/>
    <w:rsid w:val="00707047"/>
    <w:rsid w:val="00710F79"/>
    <w:rsid w:val="0072573B"/>
    <w:rsid w:val="0073427A"/>
    <w:rsid w:val="00737BDF"/>
    <w:rsid w:val="00763B3C"/>
    <w:rsid w:val="00776D9F"/>
    <w:rsid w:val="007E082F"/>
    <w:rsid w:val="007F320D"/>
    <w:rsid w:val="007F7303"/>
    <w:rsid w:val="008309B9"/>
    <w:rsid w:val="00866EAF"/>
    <w:rsid w:val="00893C87"/>
    <w:rsid w:val="00894579"/>
    <w:rsid w:val="008A7024"/>
    <w:rsid w:val="008B1D97"/>
    <w:rsid w:val="008F1FE5"/>
    <w:rsid w:val="009067CE"/>
    <w:rsid w:val="00915E87"/>
    <w:rsid w:val="00935E51"/>
    <w:rsid w:val="009428C3"/>
    <w:rsid w:val="00977F17"/>
    <w:rsid w:val="0098473F"/>
    <w:rsid w:val="00997672"/>
    <w:rsid w:val="009E35BB"/>
    <w:rsid w:val="00A059E9"/>
    <w:rsid w:val="00A53B46"/>
    <w:rsid w:val="00A56468"/>
    <w:rsid w:val="00A56F4A"/>
    <w:rsid w:val="00A576B2"/>
    <w:rsid w:val="00A846CE"/>
    <w:rsid w:val="00A92044"/>
    <w:rsid w:val="00AA1490"/>
    <w:rsid w:val="00AA7902"/>
    <w:rsid w:val="00AB11EF"/>
    <w:rsid w:val="00AB5F6E"/>
    <w:rsid w:val="00AD79B1"/>
    <w:rsid w:val="00AF2F4B"/>
    <w:rsid w:val="00AF619F"/>
    <w:rsid w:val="00AF6C50"/>
    <w:rsid w:val="00B26C0A"/>
    <w:rsid w:val="00B40480"/>
    <w:rsid w:val="00B5167B"/>
    <w:rsid w:val="00BE040E"/>
    <w:rsid w:val="00C00879"/>
    <w:rsid w:val="00C27334"/>
    <w:rsid w:val="00C31C41"/>
    <w:rsid w:val="00C31E76"/>
    <w:rsid w:val="00C34695"/>
    <w:rsid w:val="00C46CB1"/>
    <w:rsid w:val="00C744F6"/>
    <w:rsid w:val="00C877EB"/>
    <w:rsid w:val="00CA3ECB"/>
    <w:rsid w:val="00CB1CA1"/>
    <w:rsid w:val="00CC05BC"/>
    <w:rsid w:val="00CF3900"/>
    <w:rsid w:val="00D11B23"/>
    <w:rsid w:val="00D12EA6"/>
    <w:rsid w:val="00D32A0C"/>
    <w:rsid w:val="00D425E5"/>
    <w:rsid w:val="00D55DE2"/>
    <w:rsid w:val="00D616B7"/>
    <w:rsid w:val="00D76DF8"/>
    <w:rsid w:val="00D84B03"/>
    <w:rsid w:val="00D94CF5"/>
    <w:rsid w:val="00DA30F5"/>
    <w:rsid w:val="00DA551F"/>
    <w:rsid w:val="00DD182F"/>
    <w:rsid w:val="00DD7537"/>
    <w:rsid w:val="00E22F58"/>
    <w:rsid w:val="00E63A02"/>
    <w:rsid w:val="00E71D7B"/>
    <w:rsid w:val="00EC5496"/>
    <w:rsid w:val="00EC754E"/>
    <w:rsid w:val="00F1145D"/>
    <w:rsid w:val="00F73D17"/>
    <w:rsid w:val="00F75DA7"/>
    <w:rsid w:val="00FC38B2"/>
    <w:rsid w:val="00FF140E"/>
    <w:rsid w:val="00FF2997"/>
    <w:rsid w:val="00FF2AD4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B0C8A4C-2275-475E-84F0-19798665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6D9F"/>
    <w:rPr>
      <w:rFonts w:eastAsiaTheme="minorEastAsia"/>
    </w:rPr>
  </w:style>
  <w:style w:type="paragraph" w:styleId="3">
    <w:name w:val="heading 3"/>
    <w:basedOn w:val="a"/>
    <w:next w:val="a"/>
    <w:link w:val="3Char"/>
    <w:uiPriority w:val="9"/>
    <w:unhideWhenUsed/>
    <w:qFormat/>
    <w:rsid w:val="00776D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عنوان 3 Char"/>
    <w:basedOn w:val="a0"/>
    <w:link w:val="3"/>
    <w:uiPriority w:val="9"/>
    <w:rsid w:val="00776D9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776D9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76D9F"/>
  </w:style>
  <w:style w:type="paragraph" w:styleId="a3">
    <w:name w:val="Normal (Web)"/>
    <w:basedOn w:val="a"/>
    <w:uiPriority w:val="99"/>
    <w:semiHidden/>
    <w:unhideWhenUsed/>
    <w:rsid w:val="00776D9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AF2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AF2F4B"/>
    <w:rPr>
      <w:rFonts w:ascii="Tahoma" w:eastAsiaTheme="minorEastAsi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5F6769"/>
    <w:rPr>
      <w:sz w:val="16"/>
      <w:szCs w:val="16"/>
    </w:rPr>
  </w:style>
  <w:style w:type="paragraph" w:styleId="a6">
    <w:name w:val="annotation text"/>
    <w:basedOn w:val="a"/>
    <w:link w:val="Char0"/>
    <w:uiPriority w:val="99"/>
    <w:semiHidden/>
    <w:unhideWhenUsed/>
    <w:rsid w:val="005F6769"/>
    <w:pPr>
      <w:spacing w:line="240" w:lineRule="auto"/>
    </w:pPr>
    <w:rPr>
      <w:sz w:val="20"/>
      <w:szCs w:val="20"/>
    </w:rPr>
  </w:style>
  <w:style w:type="character" w:customStyle="1" w:styleId="Char0">
    <w:name w:val="نص تعليق Char"/>
    <w:basedOn w:val="a0"/>
    <w:link w:val="a6"/>
    <w:uiPriority w:val="99"/>
    <w:semiHidden/>
    <w:rsid w:val="005F6769"/>
    <w:rPr>
      <w:rFonts w:eastAsiaTheme="minorEastAsia"/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5F6769"/>
    <w:rPr>
      <w:b/>
      <w:bCs/>
    </w:rPr>
  </w:style>
  <w:style w:type="character" w:customStyle="1" w:styleId="Char1">
    <w:name w:val="موضوع تعليق Char"/>
    <w:basedOn w:val="Char0"/>
    <w:link w:val="a7"/>
    <w:uiPriority w:val="99"/>
    <w:semiHidden/>
    <w:rsid w:val="005F6769"/>
    <w:rPr>
      <w:rFonts w:eastAsiaTheme="minorEastAsia"/>
      <w:b/>
      <w:bCs/>
      <w:sz w:val="20"/>
      <w:szCs w:val="20"/>
    </w:rPr>
  </w:style>
  <w:style w:type="character" w:styleId="a8">
    <w:name w:val="Subtle Reference"/>
    <w:basedOn w:val="a0"/>
    <w:uiPriority w:val="31"/>
    <w:qFormat/>
    <w:rsid w:val="00236670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6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5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6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2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8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8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1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4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3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2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5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6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1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5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2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6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3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33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9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6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3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8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23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9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5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1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8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9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0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9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1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63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4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7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0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3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5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6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5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2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1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6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8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4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8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8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entrez/query.fcgi?cmd=Retrieve&amp;db=PubMed&amp;list_uids=10691590&amp;dopt=Abstract" TargetMode="External" /><Relationship Id="rId13" Type="http://schemas.openxmlformats.org/officeDocument/2006/relationships/hyperlink" Target="http://www.ncbi.nlm.nih.gov/entrez/query.fcgi?cmd=Retrieve&amp;db=PubMed&amp;list_uids=10631217&amp;dopt=Abstract" TargetMode="External" /><Relationship Id="rId1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sjkdt.org/article.asp?issn=1319-2442;year=2007;volume=18;issue=1;spage=37;epage=42;aulast=Al-Hwiesh#ft21" TargetMode="External" /><Relationship Id="rId12" Type="http://schemas.openxmlformats.org/officeDocument/2006/relationships/hyperlink" Target="http://www.sjkdt.org/article.asp?issn=1319-2442;year=2007;volume=18;issue=1;spage=37;epage=42;aulast=Al-Hwiesh#ft28" TargetMode="External" /><Relationship Id="rId17" Type="http://schemas.openxmlformats.org/officeDocument/2006/relationships/image" Target="media/image2.gif" /><Relationship Id="rId2" Type="http://schemas.openxmlformats.org/officeDocument/2006/relationships/styles" Target="styles.xml" /><Relationship Id="rId16" Type="http://schemas.openxmlformats.org/officeDocument/2006/relationships/hyperlink" Target="http://www.sjkdt.org/article.asp?issn=1319-2442;year=2007;volume=18;issue=1;spage=37;epage=42;aulast=Al-Hwiesh#top" TargetMode="External" /><Relationship Id="rId1" Type="http://schemas.openxmlformats.org/officeDocument/2006/relationships/customXml" Target="../customXml/item1.xml" /><Relationship Id="rId6" Type="http://schemas.openxmlformats.org/officeDocument/2006/relationships/image" Target="media/image1.gif" /><Relationship Id="rId11" Type="http://schemas.openxmlformats.org/officeDocument/2006/relationships/hyperlink" Target="http://www.sjkdt.org/article.asp?issn=1319-2442;year=2007;volume=18;issue=1;spage=37;epage=42;aulast=Al-Hwiesh#ft23" TargetMode="External" /><Relationship Id="rId5" Type="http://schemas.openxmlformats.org/officeDocument/2006/relationships/hyperlink" Target="http://www.sjkdt.org/article.asp?issn=1319-2442;year=2007;volume=18;issue=1;spage=37;epage=42;aulast=Al-Hwiesh#ft1" TargetMode="External" /><Relationship Id="rId15" Type="http://schemas.openxmlformats.org/officeDocument/2006/relationships/hyperlink" Target="http://www.sjkdt.org/article.asp?issn=1319-2442;year=2007;volume=18;issue=1;spage=37;epage=42;aulast=Al-Hwiesh#ft29" TargetMode="External" /><Relationship Id="rId10" Type="http://schemas.openxmlformats.org/officeDocument/2006/relationships/hyperlink" Target="http://www.sjkdt.org/article.asp?issn=1319-2442;year=2007;volume=18;issue=1;spage=37;epage=42;aulast=Al-Hwiesh#ft22" TargetMode="External" /><Relationship Id="rId19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hyperlink" Target="http://www.annals.org/cgi/pmidlookup?view=reprint&amp;amp;pmid=10691590" TargetMode="External" /><Relationship Id="rId14" Type="http://schemas.openxmlformats.org/officeDocument/2006/relationships/hyperlink" Target="http://www.chestjournal.org/cgi/pmidlookup?view=long&amp;amp;pmid=106312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1F09C-C0A5-274A-A2C9-1481AD7FFF2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Ayoub</dc:creator>
  <cp:keywords/>
  <dc:description/>
  <cp:lastModifiedBy>assem herzallah</cp:lastModifiedBy>
  <cp:revision>2</cp:revision>
  <cp:lastPrinted>2017-04-29T08:51:00Z</cp:lastPrinted>
  <dcterms:created xsi:type="dcterms:W3CDTF">2017-11-12T20:52:00Z</dcterms:created>
  <dcterms:modified xsi:type="dcterms:W3CDTF">2017-11-12T20:52:00Z</dcterms:modified>
</cp:coreProperties>
</file>