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6E8" w:rsidRPr="00F656E8" w:rsidRDefault="00F656E8" w:rsidP="00F656E8">
      <w:pPr>
        <w:adjustRightInd w:val="0"/>
        <w:snapToGrid w:val="0"/>
        <w:spacing w:line="480" w:lineRule="auto"/>
        <w:jc w:val="center"/>
        <w:rPr>
          <w:rFonts w:asciiTheme="minorHAnsi" w:eastAsia="宋体" w:hAnsiTheme="minorHAnsi" w:cstheme="minorHAnsi"/>
          <w:b/>
          <w:color w:val="0070C0"/>
          <w:kern w:val="2"/>
          <w:sz w:val="28"/>
          <w:szCs w:val="28"/>
          <w:lang w:eastAsia="zh-CN"/>
        </w:rPr>
      </w:pPr>
      <w:r w:rsidRPr="00F656E8">
        <w:rPr>
          <w:rFonts w:asciiTheme="minorHAnsi" w:eastAsia="宋体" w:hAnsiTheme="minorHAnsi" w:cstheme="minorHAnsi"/>
          <w:b/>
          <w:color w:val="0070C0"/>
          <w:kern w:val="2"/>
          <w:sz w:val="28"/>
          <w:szCs w:val="28"/>
          <w:lang w:eastAsia="zh-CN"/>
        </w:rPr>
        <w:t>Hybrid Repair of Aortic Pathology Involving Aortic arch</w:t>
      </w:r>
    </w:p>
    <w:p w:rsidR="00AE3E37" w:rsidRDefault="00F656E8" w:rsidP="00F656E8">
      <w:pPr>
        <w:pStyle w:val="a3"/>
        <w:jc w:val="center"/>
        <w:rPr>
          <w:rFonts w:eastAsiaTheme="minorEastAsia"/>
          <w:sz w:val="28"/>
          <w:szCs w:val="28"/>
          <w:lang w:eastAsia="zh-CN"/>
        </w:rPr>
      </w:pPr>
      <w:r w:rsidRPr="00F656E8">
        <w:rPr>
          <w:sz w:val="28"/>
          <w:szCs w:val="28"/>
        </w:rPr>
        <w:t>Yu-guo Xue</w:t>
      </w:r>
      <w:r w:rsidRPr="00B3075A">
        <w:rPr>
          <w:rStyle w:val="a9"/>
          <w:sz w:val="28"/>
          <w:szCs w:val="28"/>
        </w:rPr>
        <w:t>1</w:t>
      </w:r>
      <w:r w:rsidRPr="00B3075A">
        <w:rPr>
          <w:sz w:val="28"/>
          <w:szCs w:val="28"/>
        </w:rPr>
        <w:t>, Li-zhong Sun</w:t>
      </w:r>
      <w:r w:rsidRPr="00B3075A">
        <w:rPr>
          <w:sz w:val="28"/>
          <w:szCs w:val="28"/>
          <w:vertAlign w:val="superscript"/>
        </w:rPr>
        <w:t>2</w:t>
      </w:r>
      <w:r w:rsidRPr="00B3075A">
        <w:rPr>
          <w:sz w:val="28"/>
          <w:szCs w:val="28"/>
        </w:rPr>
        <w:t>, Jun Zheng</w:t>
      </w:r>
      <w:r w:rsidRPr="00B3075A">
        <w:rPr>
          <w:sz w:val="28"/>
          <w:szCs w:val="28"/>
          <w:vertAlign w:val="superscript"/>
        </w:rPr>
        <w:t>2</w:t>
      </w:r>
      <w:r w:rsidRPr="00B3075A"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,Shangdong Xu</w:t>
      </w:r>
      <w:r w:rsidRPr="00B3075A">
        <w:rPr>
          <w:sz w:val="28"/>
          <w:szCs w:val="28"/>
          <w:vertAlign w:val="superscript"/>
        </w:rPr>
        <w:t>2</w:t>
      </w:r>
      <w:r>
        <w:rPr>
          <w:rFonts w:hint="eastAsia"/>
          <w:sz w:val="28"/>
          <w:szCs w:val="28"/>
        </w:rPr>
        <w:t xml:space="preserve"> </w:t>
      </w:r>
      <w:r w:rsidRPr="00B3075A">
        <w:rPr>
          <w:sz w:val="28"/>
          <w:szCs w:val="28"/>
        </w:rPr>
        <w:t>and Lian-jun Huang</w:t>
      </w:r>
      <w:r w:rsidRPr="00B3075A">
        <w:rPr>
          <w:sz w:val="28"/>
          <w:szCs w:val="28"/>
          <w:vertAlign w:val="superscript"/>
        </w:rPr>
        <w:t>1</w:t>
      </w:r>
      <w:r>
        <w:rPr>
          <w:rFonts w:eastAsiaTheme="minorEastAsia" w:hint="eastAsia"/>
          <w:sz w:val="28"/>
          <w:szCs w:val="28"/>
          <w:lang w:eastAsia="zh-CN"/>
        </w:rPr>
        <w:t>, Beijing, China</w:t>
      </w:r>
    </w:p>
    <w:p w:rsidR="00F656E8" w:rsidRPr="00F656E8" w:rsidRDefault="00F656E8" w:rsidP="00F656E8">
      <w:pPr>
        <w:pStyle w:val="a3"/>
        <w:jc w:val="center"/>
        <w:rPr>
          <w:rFonts w:ascii="Arial" w:eastAsiaTheme="minorEastAsia"/>
          <w:sz w:val="20"/>
          <w:lang w:eastAsia="zh-CN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F656E8" w:rsidRPr="00F656E8" w:rsidRDefault="00F656E8" w:rsidP="00F656E8">
      <w:pPr>
        <w:pStyle w:val="3"/>
        <w:spacing w:before="74"/>
        <w:rPr>
          <w:rFonts w:asciiTheme="minorHAnsi" w:eastAsiaTheme="minorEastAsia" w:hAnsiTheme="minorHAnsi" w:cstheme="minorHAnsi"/>
          <w:b w:val="0"/>
          <w:bCs w:val="0"/>
          <w:sz w:val="18"/>
          <w:szCs w:val="18"/>
          <w:lang w:eastAsia="zh-CN"/>
        </w:rPr>
      </w:pPr>
      <w:r w:rsidRPr="00F656E8">
        <w:rPr>
          <w:rFonts w:asciiTheme="minorHAnsi" w:eastAsia="Tw Cen MT" w:hAnsiTheme="minorHAnsi" w:cstheme="minorHAnsi"/>
          <w:bCs w:val="0"/>
          <w:sz w:val="18"/>
          <w:szCs w:val="18"/>
        </w:rPr>
        <w:t>Purpose</w:t>
      </w:r>
      <w:r w:rsidR="00B62859">
        <w:rPr>
          <w:rFonts w:asciiTheme="minorHAnsi" w:eastAsiaTheme="minorEastAsia" w:hAnsi="Tw Cen MT" w:cstheme="minorHAnsi" w:hint="eastAsia"/>
          <w:b w:val="0"/>
          <w:bCs w:val="0"/>
          <w:sz w:val="18"/>
          <w:szCs w:val="18"/>
          <w:lang w:eastAsia="zh-CN"/>
        </w:rPr>
        <w:t xml:space="preserve">:  </w:t>
      </w:r>
      <w:r w:rsidRPr="00F656E8">
        <w:rPr>
          <w:rFonts w:asciiTheme="minorHAnsi" w:eastAsia="Tw Cen MT" w:hAnsiTheme="minorHAnsi" w:cstheme="minorHAnsi"/>
          <w:b w:val="0"/>
          <w:bCs w:val="0"/>
          <w:sz w:val="18"/>
          <w:szCs w:val="18"/>
        </w:rPr>
        <w:t>To evaluate the safety and efficacy of hybrid repair for aortic lesions involving aortic arch.</w:t>
      </w:r>
    </w:p>
    <w:p w:rsidR="00F656E8" w:rsidRPr="00F656E8" w:rsidRDefault="00F656E8" w:rsidP="00F656E8">
      <w:pPr>
        <w:pStyle w:val="3"/>
        <w:spacing w:before="74"/>
        <w:rPr>
          <w:rFonts w:asciiTheme="minorHAnsi" w:eastAsiaTheme="minorEastAsia" w:hAnsiTheme="minorHAnsi" w:cstheme="minorHAnsi"/>
          <w:b w:val="0"/>
          <w:bCs w:val="0"/>
          <w:sz w:val="18"/>
          <w:szCs w:val="18"/>
          <w:lang w:eastAsia="zh-CN"/>
        </w:rPr>
      </w:pPr>
      <w:r w:rsidRPr="00F656E8">
        <w:rPr>
          <w:rFonts w:asciiTheme="minorHAnsi" w:eastAsia="Tw Cen MT" w:hAnsiTheme="minorHAnsi" w:cstheme="minorHAnsi"/>
          <w:bCs w:val="0"/>
          <w:sz w:val="18"/>
          <w:szCs w:val="18"/>
        </w:rPr>
        <w:t>Materials and Methods</w:t>
      </w:r>
      <w:r w:rsidRPr="00F656E8">
        <w:rPr>
          <w:rFonts w:asciiTheme="minorHAnsi" w:eastAsia="Tw Cen MT" w:hAnsiTheme="minorHAnsi" w:cstheme="minorHAnsi"/>
          <w:b w:val="0"/>
          <w:bCs w:val="0"/>
          <w:sz w:val="18"/>
          <w:szCs w:val="18"/>
        </w:rPr>
        <w:t xml:space="preserve">: From February 2009 to September 2016, 81 consecutive patients (70 men; mean age 63.4±7.9 years, range 32-79) underwent brachiocephalic bypass combined with stent-graft implantation (“hybrid”) and were enrolled in the study.  Aortic pathologies included standford type B aortic dissection (n=22), aortic arch aneurysm (n=26), aortic arch pseudoaneurysm (n=14), aortic arch penetrating ulcer (n=11) and proximal endoleak (n=5) or pseudoaneurysm formation (n=3) after TEVAR.  Hybrid repair comprised 3 landing in zone 0, 44 landing in zone 1 and 34 landing in zone 2.  Simultaneous procedures included left subclavian artery embolization (n=57), endovascular abdominal aortic repair (n=1), coronary artery bypass (n=1), left common carotid endarterectomy (n=1) and renal stenting (n=4).  Follow-up was performed at 1 month, 3 months, 6 months, 1 year and annually thereafter to investigate endoleak, patency of vascular graft and exclusion of aortic pathology.  </w:t>
      </w:r>
    </w:p>
    <w:p w:rsidR="00F656E8" w:rsidRPr="00F656E8" w:rsidRDefault="00F656E8" w:rsidP="00F656E8">
      <w:pPr>
        <w:pStyle w:val="3"/>
        <w:spacing w:before="74"/>
        <w:rPr>
          <w:rFonts w:asciiTheme="minorHAnsi" w:eastAsiaTheme="minorEastAsia" w:hAnsiTheme="minorHAnsi" w:cstheme="minorHAnsi"/>
          <w:b w:val="0"/>
          <w:bCs w:val="0"/>
          <w:sz w:val="18"/>
          <w:szCs w:val="18"/>
          <w:lang w:eastAsia="zh-CN"/>
        </w:rPr>
      </w:pPr>
      <w:r w:rsidRPr="00F656E8">
        <w:rPr>
          <w:rFonts w:asciiTheme="minorHAnsi" w:eastAsia="Tw Cen MT" w:hAnsiTheme="minorHAnsi" w:cstheme="minorHAnsi"/>
          <w:bCs w:val="0"/>
          <w:sz w:val="18"/>
          <w:szCs w:val="18"/>
        </w:rPr>
        <w:t>Results</w:t>
      </w:r>
      <w:r w:rsidRPr="00F656E8">
        <w:rPr>
          <w:rFonts w:asciiTheme="minorHAnsi" w:eastAsia="Tw Cen MT" w:hAnsiTheme="minorHAnsi" w:cstheme="minorHAnsi"/>
          <w:b w:val="0"/>
          <w:bCs w:val="0"/>
          <w:sz w:val="18"/>
          <w:szCs w:val="18"/>
        </w:rPr>
        <w:t xml:space="preserve">: Technical success was 100%.  Instant endoleak was observed in 9 (11.1%, 7 type </w:t>
      </w:r>
      <w:r w:rsidRPr="00F656E8">
        <w:rPr>
          <w:rFonts w:asciiTheme="minorHAnsi" w:eastAsia="Tw Cen MT" w:hAnsi="Tw Cen MT" w:cstheme="minorHAnsi"/>
          <w:b w:val="0"/>
          <w:bCs w:val="0"/>
          <w:sz w:val="18"/>
          <w:szCs w:val="18"/>
        </w:rPr>
        <w:t>Ⅰ</w:t>
      </w:r>
      <w:r w:rsidRPr="00F656E8">
        <w:rPr>
          <w:rFonts w:asciiTheme="minorHAnsi" w:eastAsia="Tw Cen MT" w:hAnsiTheme="minorHAnsi" w:cstheme="minorHAnsi"/>
          <w:b w:val="0"/>
          <w:bCs w:val="0"/>
          <w:sz w:val="18"/>
          <w:szCs w:val="18"/>
        </w:rPr>
        <w:t xml:space="preserve">, 2 type </w:t>
      </w:r>
      <w:r w:rsidRPr="00F656E8">
        <w:rPr>
          <w:rFonts w:asciiTheme="minorHAnsi" w:eastAsia="Tw Cen MT" w:hAnsi="Tw Cen MT" w:cstheme="minorHAnsi"/>
          <w:b w:val="0"/>
          <w:bCs w:val="0"/>
          <w:sz w:val="18"/>
          <w:szCs w:val="18"/>
        </w:rPr>
        <w:t>Ⅱ</w:t>
      </w:r>
      <w:r w:rsidRPr="00F656E8">
        <w:rPr>
          <w:rFonts w:asciiTheme="minorHAnsi" w:eastAsia="Tw Cen MT" w:hAnsiTheme="minorHAnsi" w:cstheme="minorHAnsi"/>
          <w:b w:val="0"/>
          <w:bCs w:val="0"/>
          <w:sz w:val="18"/>
          <w:szCs w:val="18"/>
        </w:rPr>
        <w:t>) cases on postoperative angiography.  Perioperative complications included itrogenic ascending aortic dissection (n=1, 1.2%), stroke (n=2, 2.5%), anastomotic bleeding (n=1, 1.2%), both lower limbs thrombosis (n=1, 1.2%)</w:t>
      </w:r>
      <w:r w:rsidRPr="00F656E8">
        <w:rPr>
          <w:rFonts w:asciiTheme="minorHAnsi" w:eastAsia="Tw Cen MT" w:hAnsi="Tw Cen MT" w:cstheme="minorHAnsi"/>
          <w:b w:val="0"/>
          <w:bCs w:val="0"/>
          <w:sz w:val="18"/>
          <w:szCs w:val="18"/>
        </w:rPr>
        <w:t>，</w:t>
      </w:r>
      <w:r w:rsidRPr="00F656E8">
        <w:rPr>
          <w:rFonts w:asciiTheme="minorHAnsi" w:eastAsia="Tw Cen MT" w:hAnsiTheme="minorHAnsi" w:cstheme="minorHAnsi"/>
          <w:b w:val="0"/>
          <w:bCs w:val="0"/>
          <w:sz w:val="18"/>
          <w:szCs w:val="18"/>
        </w:rPr>
        <w:t xml:space="preserve">and acute respiratory failure (n=2, 2.5%).  Early morbidity was 8.6% (7/81).  Early death occurred in 5 cases (6.2%) due to stroke, anastomotic bleeding, acute respiratory failure and sudden death.  Follow-up was complete in 100% for 39.4±14.5 months (range 1 -81 months).  During follow-up, all the vascular grafts were patent.  The overall endoleak rate was 13.58% (11/81).  Late mortality was 6.2% (5/81) and morbidity was 14.5% (8/81).  </w:t>
      </w:r>
    </w:p>
    <w:p w:rsidR="00AE3E37" w:rsidRDefault="00F656E8" w:rsidP="00F656E8">
      <w:pPr>
        <w:pStyle w:val="3"/>
        <w:spacing w:before="74"/>
        <w:rPr>
          <w:rFonts w:eastAsiaTheme="minorEastAsia"/>
          <w:color w:val="BF5A14"/>
          <w:lang w:eastAsia="zh-CN"/>
        </w:rPr>
      </w:pPr>
      <w:r w:rsidRPr="00F656E8">
        <w:rPr>
          <w:rFonts w:asciiTheme="minorHAnsi" w:eastAsia="Tw Cen MT" w:hAnsiTheme="minorHAnsi" w:cstheme="minorHAnsi"/>
          <w:bCs w:val="0"/>
          <w:sz w:val="18"/>
          <w:szCs w:val="18"/>
        </w:rPr>
        <w:t>Conclusion</w:t>
      </w:r>
      <w:r>
        <w:rPr>
          <w:rFonts w:asciiTheme="minorHAnsi" w:eastAsiaTheme="minorEastAsia" w:hAnsiTheme="minorHAnsi" w:cstheme="minorHAnsi" w:hint="eastAsia"/>
          <w:bCs w:val="0"/>
          <w:sz w:val="18"/>
          <w:szCs w:val="18"/>
          <w:lang w:eastAsia="zh-CN"/>
        </w:rPr>
        <w:t>s</w:t>
      </w:r>
      <w:r w:rsidRPr="00F656E8">
        <w:rPr>
          <w:rFonts w:asciiTheme="minorHAnsi" w:eastAsia="Tw Cen MT" w:hAnsiTheme="minorHAnsi" w:cstheme="minorHAnsi"/>
          <w:b w:val="0"/>
          <w:bCs w:val="0"/>
          <w:sz w:val="18"/>
          <w:szCs w:val="18"/>
        </w:rPr>
        <w:t>: Hybrid repair of aortic pathologies involving aortic arch is safe and effective with good short- and mid-term results, greatly expanding the indication of endovascular aortic repair.</w:t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:rsidR="002F4001" w:rsidRPr="002F4001" w:rsidRDefault="002F4001" w:rsidP="00F656E8">
      <w:pPr>
        <w:pStyle w:val="3"/>
        <w:spacing w:before="74"/>
        <w:rPr>
          <w:rFonts w:eastAsiaTheme="minorEastAsia"/>
          <w:lang w:eastAsia="zh-CN"/>
        </w:rPr>
      </w:pPr>
    </w:p>
    <w:p w:rsidR="00AE3E37" w:rsidRDefault="002F4001">
      <w:pPr>
        <w:pStyle w:val="a3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eastAsia="zh-CN"/>
        </w:rPr>
        <w:drawing>
          <wp:inline distT="0" distB="0" distL="0" distR="0">
            <wp:extent cx="3420379" cy="899769"/>
            <wp:effectExtent l="19050" t="0" r="8621" b="0"/>
            <wp:docPr id="3" name="图片 3" descr="C:\Users\Administrator\Desktop\刘国堂  CT三维重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刘国堂  CT三维重建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988" cy="900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C4E" w:rsidRDefault="005973B9" w:rsidP="005973B9">
      <w:pPr>
        <w:spacing w:line="204" w:lineRule="exact"/>
        <w:rPr>
          <w:rFonts w:ascii="Arial" w:eastAsiaTheme="minorEastAsia" w:hint="eastAsia"/>
          <w:b/>
          <w:color w:val="BF5A14"/>
          <w:sz w:val="20"/>
          <w:lang w:eastAsia="zh-CN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035C4E" w:rsidRPr="00035C4E" w:rsidRDefault="00035C4E" w:rsidP="005973B9">
      <w:pPr>
        <w:spacing w:line="204" w:lineRule="exact"/>
        <w:rPr>
          <w:rFonts w:ascii="Arial" w:eastAsiaTheme="minorEastAsia" w:hint="eastAsia"/>
          <w:b/>
          <w:sz w:val="20"/>
          <w:lang w:eastAsia="zh-CN"/>
        </w:rPr>
      </w:pPr>
    </w:p>
    <w:p w:rsidR="00035C4E" w:rsidRPr="00035C4E" w:rsidRDefault="00035C4E" w:rsidP="00035C4E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035C4E">
        <w:rPr>
          <w:rFonts w:ascii="Calibri" w:eastAsia="Calibri" w:hAnsi="Calibri" w:cs="Calibri"/>
          <w:sz w:val="18"/>
        </w:rPr>
        <w:t>[1] Xydas S, Mihos C G, Williams R F, et al. Hybrid repair of aortic arch aneurysms: a comprehensive review[J]. J Thorac Dis,2017,9(Suppl 7):S629-S634.</w:t>
      </w:r>
    </w:p>
    <w:p w:rsidR="00035C4E" w:rsidRPr="00035C4E" w:rsidRDefault="00035C4E" w:rsidP="00035C4E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035C4E">
        <w:rPr>
          <w:rFonts w:ascii="Calibri" w:eastAsia="Calibri" w:hAnsi="Calibri" w:cs="Calibri"/>
          <w:sz w:val="18"/>
        </w:rPr>
        <w:t>[2] Tadros R, Safir S R, Faries P L, et al. Hybrid Repair Techniques for Complex Aneurysms and Dissections Involving the Aortic Arch and Thoracic Aorta[J]. Surg Technol Int,2017,30:243-247.</w:t>
      </w:r>
    </w:p>
    <w:p w:rsidR="00035C4E" w:rsidRPr="00035C4E" w:rsidRDefault="00035C4E" w:rsidP="00035C4E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035C4E">
        <w:rPr>
          <w:rFonts w:ascii="Calibri" w:eastAsia="Calibri" w:hAnsi="Calibri" w:cs="Calibri"/>
          <w:sz w:val="18"/>
        </w:rPr>
        <w:t>[3] Pagliariccio G, Gatta E. Rupture of a Complex Aortic Arch Aneurysm: Hybrid Repair[J]. Eur J Vasc Endovasc Surg,2017.</w:t>
      </w:r>
    </w:p>
    <w:p w:rsidR="00035C4E" w:rsidRPr="00035C4E" w:rsidRDefault="00035C4E" w:rsidP="00035C4E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035C4E">
        <w:rPr>
          <w:rFonts w:ascii="Calibri" w:eastAsia="Calibri" w:hAnsi="Calibri" w:cs="Calibri"/>
          <w:sz w:val="18"/>
        </w:rPr>
        <w:t>[4] Arnaoutakis G J, Szeto W Y. Hybrid aortic arch repair: The ultimate solution or a stop along the way to a total endovascular arch reconstruction?[J]. J Thorac Cardiovasc Surg,2016,152(1):169-170.</w:t>
      </w:r>
    </w:p>
    <w:p w:rsidR="00035C4E" w:rsidRPr="00035C4E" w:rsidRDefault="00035C4E" w:rsidP="00035C4E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035C4E">
        <w:rPr>
          <w:rFonts w:ascii="Calibri" w:eastAsia="Calibri" w:hAnsi="Calibri" w:cs="Calibri"/>
          <w:sz w:val="18"/>
        </w:rPr>
        <w:t>[5] Faure E M, Canaud L, Marty-Ane C, et al. Hybrid aortic arch repair for dissecting aneurysm[J]. J Thorac Cardiovasc Surg,2016,152(1):162-168.</w:t>
      </w:r>
    </w:p>
    <w:p w:rsidR="00AE3E37" w:rsidRPr="008756E6" w:rsidRDefault="00035C4E" w:rsidP="00035C4E">
      <w:pPr>
        <w:tabs>
          <w:tab w:val="left" w:pos="384"/>
        </w:tabs>
        <w:ind w:right="117"/>
      </w:pPr>
      <w:r w:rsidRPr="00035C4E">
        <w:rPr>
          <w:rFonts w:ascii="Calibri" w:eastAsia="Calibri" w:hAnsi="Calibri" w:cs="Calibri"/>
          <w:sz w:val="18"/>
        </w:rPr>
        <w:t>[6] He X, Liu W, Li Z, et al. Hybrid Approach to Management of Complex Aortic Arch Pathologies: A Single-Center Experience in China[J]. Ann Vasc Surg,2016,31:23-29.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6508C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035C4E" w:rsidP="00404E5B">
      <w:pPr>
        <w:spacing w:before="92"/>
        <w:ind w:right="4234"/>
        <w:rPr>
          <w:rFonts w:ascii="Arial"/>
        </w:rPr>
      </w:pPr>
      <w:r>
        <w:rPr>
          <w:noProof/>
          <w:lang w:eastAsia="zh-CN"/>
        </w:rPr>
        <w:drawing>
          <wp:inline distT="0" distB="0" distL="0" distR="0">
            <wp:extent cx="469393" cy="686242"/>
            <wp:effectExtent l="19050" t="0" r="6857" b="0"/>
            <wp:docPr id="2" name="图片 2" descr="G:\证件照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证件照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046" cy="685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Theme="minorEastAsia" w:hint="eastAsia"/>
          <w:noProof/>
          <w:lang w:eastAsia="zh-CN"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Pr="00B62859" w:rsidRDefault="00350063" w:rsidP="00350063">
      <w:pPr>
        <w:spacing w:before="41" w:line="360" w:lineRule="auto"/>
        <w:ind w:left="215" w:right="232"/>
        <w:jc w:val="both"/>
        <w:rPr>
          <w:rFonts w:ascii="Arial" w:eastAsiaTheme="minorEastAsia" w:hint="eastAsia"/>
          <w:sz w:val="14"/>
          <w:lang w:eastAsia="zh-CN"/>
        </w:rPr>
      </w:pPr>
      <w:r>
        <w:rPr>
          <w:rFonts w:ascii="Arial" w:eastAsiaTheme="minorEastAsia" w:hint="eastAsia"/>
          <w:sz w:val="14"/>
          <w:lang w:eastAsia="zh-CN"/>
        </w:rPr>
        <w:t>Yuguo Xue</w:t>
      </w:r>
      <w:r w:rsidR="00B62859">
        <w:rPr>
          <w:rFonts w:ascii="Arial" w:eastAsiaTheme="minorEastAsia" w:hint="eastAsia"/>
          <w:sz w:val="14"/>
          <w:lang w:eastAsia="zh-CN"/>
        </w:rPr>
        <w:t>,</w:t>
      </w:r>
      <w:r w:rsidR="00A9710C">
        <w:rPr>
          <w:rFonts w:ascii="Arial"/>
          <w:sz w:val="14"/>
        </w:rPr>
        <w:t xml:space="preserve"> </w:t>
      </w:r>
      <w:r w:rsidRPr="00350063">
        <w:rPr>
          <w:rFonts w:ascii="Arial"/>
          <w:sz w:val="14"/>
        </w:rPr>
        <w:t>speciliaze</w:t>
      </w:r>
      <w:r>
        <w:rPr>
          <w:rFonts w:ascii="Arial" w:eastAsiaTheme="minorEastAsia" w:hint="eastAsia"/>
          <w:sz w:val="14"/>
          <w:lang w:eastAsia="zh-CN"/>
        </w:rPr>
        <w:t xml:space="preserve"> on the </w:t>
      </w:r>
      <w:r>
        <w:rPr>
          <w:rFonts w:ascii="Arial"/>
          <w:sz w:val="14"/>
        </w:rPr>
        <w:t>d</w:t>
      </w:r>
      <w:r w:rsidRPr="00350063">
        <w:rPr>
          <w:rFonts w:ascii="Arial"/>
          <w:sz w:val="14"/>
        </w:rPr>
        <w:t>iagnosis and interventional treatment of aortic diseases, including dissection, intramural hematoma, penetrating aortic ulcer, aneurysm, pseudoaneurysm and coarctation.</w:t>
      </w:r>
      <w:r w:rsidR="00B62859">
        <w:rPr>
          <w:rFonts w:ascii="Arial" w:eastAsiaTheme="minorEastAsia" w:hint="eastAsia"/>
          <w:sz w:val="14"/>
          <w:lang w:eastAsia="zh-CN"/>
        </w:rPr>
        <w:t xml:space="preserve">  Every year, more than 300 patients with aortic diseases underwent endovascular treatment  at  Beijing aortic diseases center. 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B62859" w:rsidRPr="0094215C">
          <w:rPr>
            <w:rStyle w:val="a8"/>
            <w:rFonts w:ascii="Arial" w:eastAsiaTheme="minorEastAsia" w:hint="eastAsia"/>
            <w:sz w:val="14"/>
            <w:lang w:eastAsia="zh-CN"/>
          </w:rPr>
          <w:t>xueyuguo2006@163.com</w:t>
        </w:r>
      </w:hyperlink>
    </w:p>
    <w:p w:rsidR="00AE3E37" w:rsidRDefault="006508C9">
      <w:pPr>
        <w:pStyle w:val="a3"/>
        <w:spacing w:before="2"/>
        <w:rPr>
          <w:rFonts w:ascii="Arial"/>
          <w:sz w:val="19"/>
        </w:rPr>
      </w:pPr>
      <w:r w:rsidRPr="006508C9">
        <w:rPr>
          <w:noProof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B62859" w:rsidRDefault="00AE3E37">
      <w:pPr>
        <w:pStyle w:val="a3"/>
        <w:spacing w:before="3"/>
        <w:rPr>
          <w:rFonts w:ascii="Minion Pro" w:eastAsiaTheme="minorEastAsia" w:hint="eastAsia"/>
          <w:sz w:val="26"/>
          <w:lang w:eastAsia="zh-CN"/>
        </w:rPr>
      </w:pPr>
    </w:p>
    <w:sectPr w:rsidR="00AE3E37" w:rsidRPr="00B62859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43A5" w:rsidRDefault="009B43A5">
      <w:r>
        <w:separator/>
      </w:r>
    </w:p>
  </w:endnote>
  <w:endnote w:type="continuationSeparator" w:id="1">
    <w:p w:rsidR="009B43A5" w:rsidRDefault="009B43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6508C9">
    <w:pPr>
      <w:pStyle w:val="a3"/>
      <w:spacing w:line="14" w:lineRule="auto"/>
      <w:rPr>
        <w:sz w:val="20"/>
      </w:rPr>
    </w:pPr>
    <w:r w:rsidRPr="006508C9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6508C9">
      <w:rPr>
        <w:noProof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6508C9">
      <w:rPr>
        <w:noProof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43A5" w:rsidRDefault="009B43A5">
      <w:r>
        <w:separator/>
      </w:r>
    </w:p>
  </w:footnote>
  <w:footnote w:type="continuationSeparator" w:id="1">
    <w:p w:rsidR="009B43A5" w:rsidRDefault="009B43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6508C9">
    <w:pPr>
      <w:pStyle w:val="a3"/>
      <w:spacing w:line="14" w:lineRule="auto"/>
      <w:rPr>
        <w:sz w:val="20"/>
      </w:rPr>
    </w:pPr>
    <w:r w:rsidRPr="006508C9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6508C9">
      <w:rPr>
        <w:noProof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  <w:useFELayout/>
  </w:compat>
  <w:rsids>
    <w:rsidRoot w:val="00AE3E37"/>
    <w:rsid w:val="00035C4E"/>
    <w:rsid w:val="000E2911"/>
    <w:rsid w:val="001263DF"/>
    <w:rsid w:val="00292ED9"/>
    <w:rsid w:val="002F4001"/>
    <w:rsid w:val="00350063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508C9"/>
    <w:rsid w:val="006F65FB"/>
    <w:rsid w:val="00873DF0"/>
    <w:rsid w:val="008756E6"/>
    <w:rsid w:val="009B2D44"/>
    <w:rsid w:val="009B43A5"/>
    <w:rsid w:val="00A07E82"/>
    <w:rsid w:val="00A33DE3"/>
    <w:rsid w:val="00A9710C"/>
    <w:rsid w:val="00AE3E37"/>
    <w:rsid w:val="00B21A57"/>
    <w:rsid w:val="00B62859"/>
    <w:rsid w:val="00C33602"/>
    <w:rsid w:val="00CD6F55"/>
    <w:rsid w:val="00D07CD5"/>
    <w:rsid w:val="00DE3104"/>
    <w:rsid w:val="00E2271C"/>
    <w:rsid w:val="00F656E8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a9">
    <w:name w:val="footnote reference"/>
    <w:semiHidden/>
    <w:rsid w:val="00F656E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xueyuguo2006@163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</cp:lastModifiedBy>
  <cp:revision>7</cp:revision>
  <dcterms:created xsi:type="dcterms:W3CDTF">2016-08-31T10:27:00Z</dcterms:created>
  <dcterms:modified xsi:type="dcterms:W3CDTF">2017-08-14T05:25:00Z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