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1D40" w:rsidRPr="000239E5" w:rsidRDefault="00DD1D40" w:rsidP="00DD1D40">
      <w:pPr>
        <w:rPr>
          <w:rFonts w:ascii="Minion Pro" w:hAnsi="Minion Pro"/>
          <w:color w:val="00B0F0"/>
          <w:sz w:val="36"/>
          <w:szCs w:val="24"/>
          <w:u w:val="single"/>
        </w:rPr>
      </w:pPr>
      <w:r w:rsidRPr="000239E5">
        <w:rPr>
          <w:rFonts w:ascii="Minion Pro" w:hAnsi="Minion Pro"/>
          <w:b/>
          <w:bCs/>
          <w:color w:val="00B0F0"/>
          <w:sz w:val="36"/>
          <w:szCs w:val="24"/>
        </w:rPr>
        <w:t xml:space="preserve">Rare novel </w:t>
      </w:r>
      <w:r w:rsidRPr="000239E5">
        <w:rPr>
          <w:rFonts w:ascii="Minion Pro" w:hAnsi="Minion Pro"/>
          <w:b/>
          <w:bCs/>
          <w:i/>
          <w:iCs/>
          <w:color w:val="00B0F0"/>
          <w:sz w:val="36"/>
          <w:szCs w:val="24"/>
        </w:rPr>
        <w:t>CYP2U1</w:t>
      </w:r>
      <w:r w:rsidRPr="000239E5">
        <w:rPr>
          <w:rFonts w:ascii="Minion Pro" w:hAnsi="Minion Pro"/>
          <w:b/>
          <w:bCs/>
          <w:color w:val="00B0F0"/>
          <w:sz w:val="36"/>
          <w:szCs w:val="24"/>
        </w:rPr>
        <w:t xml:space="preserve"> and </w:t>
      </w:r>
      <w:r w:rsidRPr="000239E5">
        <w:rPr>
          <w:rFonts w:ascii="Minion Pro" w:hAnsi="Minion Pro"/>
          <w:b/>
          <w:bCs/>
          <w:i/>
          <w:iCs/>
          <w:color w:val="00B0F0"/>
          <w:sz w:val="36"/>
          <w:szCs w:val="24"/>
        </w:rPr>
        <w:t>ZFYVE26</w:t>
      </w:r>
      <w:r w:rsidRPr="000239E5">
        <w:rPr>
          <w:rFonts w:ascii="Minion Pro" w:hAnsi="Minion Pro"/>
          <w:b/>
          <w:bCs/>
          <w:color w:val="00B0F0"/>
          <w:sz w:val="36"/>
          <w:szCs w:val="24"/>
        </w:rPr>
        <w:t xml:space="preserve"> variants identified in two Pakistani families with spastic paraplegia. </w:t>
      </w:r>
    </w:p>
    <w:p w:rsidR="00681D4B" w:rsidRDefault="00681D4B" w:rsidP="00681D4B">
      <w:pPr>
        <w:pStyle w:val="BodyText"/>
        <w:spacing w:before="73" w:line="198" w:lineRule="exact"/>
        <w:ind w:right="5110"/>
        <w:rPr>
          <w:rFonts w:ascii="Minion Pro" w:eastAsia="Minion Pro" w:hAnsi="Minion Pro" w:cs="Minion Pro"/>
          <w:b/>
          <w:bCs/>
          <w:sz w:val="36"/>
          <w:szCs w:val="36"/>
        </w:rPr>
      </w:pPr>
    </w:p>
    <w:p w:rsidR="00B63F82" w:rsidRDefault="00B63F82" w:rsidP="00B63F82">
      <w:pPr>
        <w:pStyle w:val="BodyText"/>
        <w:spacing w:before="73" w:line="198" w:lineRule="exact"/>
        <w:ind w:right="5290"/>
        <w:rPr>
          <w:rFonts w:ascii="Arial"/>
          <w:b/>
        </w:rPr>
      </w:pPr>
      <w:r w:rsidRPr="00681D4B">
        <w:rPr>
          <w:rFonts w:ascii="Arial"/>
          <w:b/>
        </w:rPr>
        <w:t>FARAH BIBI, PhD, PMAS Arid Agriculture University, PAKISTAN</w:t>
      </w:r>
    </w:p>
    <w:p w:rsidR="005973B9" w:rsidRPr="00681D4B" w:rsidRDefault="0078738A" w:rsidP="00B63F82">
      <w:pPr>
        <w:pStyle w:val="BodyText"/>
        <w:spacing w:before="73" w:line="198" w:lineRule="exact"/>
        <w:ind w:right="5290"/>
        <w:rPr>
          <w:rFonts w:ascii="Arial"/>
          <w:b/>
        </w:rPr>
      </w:pPr>
      <w:r w:rsidRPr="00681D4B">
        <w:rPr>
          <w:rFonts w:ascii="Arial"/>
          <w:b/>
        </w:rPr>
        <w:t xml:space="preserve">Dr </w:t>
      </w:r>
      <w:r w:rsidR="00681D4B">
        <w:rPr>
          <w:rFonts w:ascii="Arial"/>
          <w:b/>
        </w:rPr>
        <w:t xml:space="preserve">GHAZALA KAUKAB RAJA, </w:t>
      </w:r>
      <w:r w:rsidR="00681D4B" w:rsidRPr="00681D4B">
        <w:rPr>
          <w:rFonts w:ascii="Arial"/>
          <w:b/>
        </w:rPr>
        <w:t>PMAS Arid Agriculture University, PAKISTAN</w:t>
      </w:r>
    </w:p>
    <w:p w:rsidR="00681D4B" w:rsidRDefault="00681D4B" w:rsidP="00B63F82">
      <w:pPr>
        <w:pStyle w:val="BodyText"/>
        <w:spacing w:before="73" w:line="198" w:lineRule="exact"/>
        <w:ind w:right="5110"/>
        <w:rPr>
          <w:rFonts w:ascii="Arial"/>
          <w:b/>
        </w:rPr>
      </w:pPr>
      <w:r w:rsidRPr="00681D4B">
        <w:rPr>
          <w:rFonts w:ascii="Arial"/>
          <w:b/>
        </w:rPr>
        <w:t>Dr HENRY HOULDEN, UNIVERSITY COLLEGE LONDON,</w:t>
      </w:r>
      <w:r>
        <w:rPr>
          <w:rFonts w:ascii="Arial"/>
          <w:b/>
        </w:rPr>
        <w:t xml:space="preserve"> </w:t>
      </w:r>
      <w:r w:rsidRPr="00681D4B">
        <w:rPr>
          <w:rFonts w:ascii="Arial"/>
          <w:b/>
        </w:rPr>
        <w:t>UK</w:t>
      </w:r>
    </w:p>
    <w:p w:rsidR="00AE3E37" w:rsidRDefault="00AE3E37">
      <w:pPr>
        <w:rPr>
          <w:rFonts w:ascii="Arial"/>
          <w:sz w:val="21"/>
          <w:szCs w:val="18"/>
        </w:rPr>
      </w:pPr>
    </w:p>
    <w:p w:rsidR="00DD1D40" w:rsidRDefault="00DD1D40">
      <w:pPr>
        <w:rPr>
          <w:rFonts w:ascii="Arial"/>
          <w:sz w:val="21"/>
        </w:rPr>
        <w:sectPr w:rsidR="00DD1D40">
          <w:headerReference w:type="default" r:id="rId7"/>
          <w:footerReference w:type="default" r:id="rId8"/>
          <w:type w:val="continuous"/>
          <w:pgSz w:w="11910" w:h="16840"/>
          <w:pgMar w:top="1740" w:right="600" w:bottom="840" w:left="620" w:header="541" w:footer="642" w:gutter="0"/>
          <w:cols w:space="720"/>
        </w:sectPr>
      </w:pPr>
    </w:p>
    <w:p w:rsidR="00AE3E37" w:rsidRDefault="00A9710C" w:rsidP="00DD1D40">
      <w:pPr>
        <w:pStyle w:val="Heading3"/>
        <w:spacing w:before="147"/>
        <w:ind w:left="0"/>
        <w:jc w:val="both"/>
      </w:pPr>
      <w:r>
        <w:rPr>
          <w:color w:val="BF5A14"/>
        </w:rPr>
        <w:lastRenderedPageBreak/>
        <w:t>Abstract</w:t>
      </w:r>
      <w:r w:rsidR="00404E5B">
        <w:rPr>
          <w:color w:val="BF5A14"/>
        </w:rPr>
        <w:t xml:space="preserve"> </w:t>
      </w:r>
    </w:p>
    <w:p w:rsidR="00DD1D40" w:rsidRPr="00DD1D40" w:rsidRDefault="00DD1D40" w:rsidP="00DD1D40">
      <w:pPr>
        <w:jc w:val="both"/>
        <w:rPr>
          <w:rFonts w:cstheme="minorHAnsi"/>
          <w:sz w:val="18"/>
          <w:szCs w:val="24"/>
        </w:rPr>
      </w:pPr>
      <w:r w:rsidRPr="00DD1D40">
        <w:rPr>
          <w:rFonts w:cstheme="minorHAnsi"/>
          <w:sz w:val="18"/>
          <w:szCs w:val="24"/>
        </w:rPr>
        <w:t>Hereditary Spastic paraplegias (HSPs) are a clinically and genetically heterogeneous group of degenerative disorders characterized by</w:t>
      </w:r>
      <w:r>
        <w:rPr>
          <w:rFonts w:cstheme="minorHAnsi"/>
          <w:sz w:val="18"/>
          <w:szCs w:val="24"/>
        </w:rPr>
        <w:t xml:space="preserve"> </w:t>
      </w:r>
      <w:r w:rsidRPr="00DD1D40">
        <w:rPr>
          <w:rFonts w:cstheme="minorHAnsi"/>
          <w:color w:val="000000"/>
          <w:sz w:val="18"/>
          <w:szCs w:val="24"/>
          <w:shd w:val="clear" w:color="auto" w:fill="FFFFFF"/>
        </w:rPr>
        <w:t>progressive spasticity and weakness of the lower limbs</w:t>
      </w:r>
      <w:r w:rsidRPr="00DD1D40">
        <w:rPr>
          <w:rFonts w:cstheme="minorHAnsi"/>
          <w:sz w:val="18"/>
          <w:szCs w:val="24"/>
        </w:rPr>
        <w:t xml:space="preserve">. </w:t>
      </w:r>
      <w:r>
        <w:rPr>
          <w:rFonts w:cstheme="minorHAnsi"/>
          <w:sz w:val="18"/>
          <w:szCs w:val="24"/>
        </w:rPr>
        <w:t xml:space="preserve">They </w:t>
      </w:r>
      <w:r w:rsidRPr="00DD1D40">
        <w:rPr>
          <w:rFonts w:cstheme="minorHAnsi"/>
          <w:sz w:val="18"/>
          <w:szCs w:val="24"/>
        </w:rPr>
        <w:t>are</w:t>
      </w:r>
      <w:r>
        <w:rPr>
          <w:rFonts w:cstheme="minorHAnsi"/>
          <w:sz w:val="18"/>
          <w:szCs w:val="24"/>
        </w:rPr>
        <w:t xml:space="preserve"> </w:t>
      </w:r>
      <w:r w:rsidRPr="00DD1D40">
        <w:rPr>
          <w:rFonts w:cstheme="minorHAnsi"/>
          <w:sz w:val="18"/>
          <w:szCs w:val="24"/>
        </w:rPr>
        <w:t xml:space="preserve">caused by </w:t>
      </w:r>
      <w:r>
        <w:rPr>
          <w:rFonts w:cstheme="minorHAnsi"/>
          <w:sz w:val="18"/>
          <w:szCs w:val="24"/>
        </w:rPr>
        <w:t xml:space="preserve">genetic </w:t>
      </w:r>
      <w:r w:rsidRPr="00DD1D40">
        <w:rPr>
          <w:rFonts w:cstheme="minorHAnsi"/>
          <w:sz w:val="18"/>
          <w:szCs w:val="24"/>
        </w:rPr>
        <w:t>defects that primarily affect the upper motor neurons in the brain and spinal cord, disrupting the normal transmission of neuronal signals to muscles</w:t>
      </w:r>
      <w:r>
        <w:rPr>
          <w:rFonts w:cstheme="minorHAnsi"/>
          <w:sz w:val="18"/>
          <w:szCs w:val="24"/>
        </w:rPr>
        <w:t xml:space="preserve"> </w:t>
      </w:r>
      <w:r w:rsidRPr="00DD1D40">
        <w:rPr>
          <w:rFonts w:cstheme="minorHAnsi"/>
          <w:sz w:val="18"/>
          <w:szCs w:val="24"/>
        </w:rPr>
        <w:t>and</w:t>
      </w:r>
      <w:r>
        <w:rPr>
          <w:rFonts w:cstheme="minorHAnsi"/>
          <w:sz w:val="18"/>
          <w:szCs w:val="24"/>
        </w:rPr>
        <w:t xml:space="preserve"> </w:t>
      </w:r>
      <w:r w:rsidRPr="00DD1D40">
        <w:rPr>
          <w:rFonts w:cstheme="minorHAnsi"/>
          <w:sz w:val="18"/>
          <w:szCs w:val="24"/>
        </w:rPr>
        <w:t>often associate degeneration of the pyramidal tracts, mainly resulting</w:t>
      </w:r>
      <w:r>
        <w:rPr>
          <w:rFonts w:cstheme="minorHAnsi"/>
          <w:sz w:val="18"/>
          <w:szCs w:val="24"/>
        </w:rPr>
        <w:t xml:space="preserve"> </w:t>
      </w:r>
      <w:r w:rsidRPr="00DD1D40">
        <w:rPr>
          <w:rFonts w:cstheme="minorHAnsi"/>
          <w:sz w:val="18"/>
          <w:szCs w:val="24"/>
        </w:rPr>
        <w:t>mainly in</w:t>
      </w:r>
      <w:r>
        <w:rPr>
          <w:rFonts w:cstheme="minorHAnsi"/>
          <w:sz w:val="18"/>
          <w:szCs w:val="24"/>
        </w:rPr>
        <w:t xml:space="preserve"> </w:t>
      </w:r>
      <w:r w:rsidRPr="00DD1D40">
        <w:rPr>
          <w:rFonts w:cstheme="minorHAnsi"/>
          <w:sz w:val="18"/>
          <w:szCs w:val="24"/>
        </w:rPr>
        <w:t>progressive spasticity of the lower limbs</w:t>
      </w:r>
      <w:r>
        <w:rPr>
          <w:rFonts w:cstheme="minorHAnsi"/>
          <w:sz w:val="18"/>
          <w:szCs w:val="24"/>
        </w:rPr>
        <w:t xml:space="preserve"> </w:t>
      </w:r>
      <w:r w:rsidRPr="00DD1D40">
        <w:rPr>
          <w:rFonts w:cstheme="minorHAnsi"/>
          <w:sz w:val="18"/>
          <w:szCs w:val="24"/>
        </w:rPr>
        <w:t>and walking difficulties.</w:t>
      </w:r>
      <w:r>
        <w:rPr>
          <w:rFonts w:cstheme="minorHAnsi"/>
          <w:sz w:val="18"/>
          <w:szCs w:val="24"/>
        </w:rPr>
        <w:t xml:space="preserve"> </w:t>
      </w:r>
      <w:r w:rsidRPr="00DD1D40">
        <w:rPr>
          <w:rFonts w:cstheme="minorHAnsi"/>
          <w:sz w:val="18"/>
          <w:szCs w:val="24"/>
        </w:rPr>
        <w:t>This study aimed to identify causative gene variants in two unrelated consanguineous Pak</w:t>
      </w:r>
      <w:r>
        <w:rPr>
          <w:rFonts w:cstheme="minorHAnsi"/>
          <w:sz w:val="18"/>
          <w:szCs w:val="24"/>
        </w:rPr>
        <w:t>istani families presented with two</w:t>
      </w:r>
      <w:r w:rsidRPr="00DD1D40">
        <w:rPr>
          <w:rFonts w:cstheme="minorHAnsi"/>
          <w:sz w:val="18"/>
          <w:szCs w:val="24"/>
        </w:rPr>
        <w:t xml:space="preserve"> different forms of HSP. Whole exome sequencing (WES) was performed in the two families and variants were validated by Sanger sequencing and segregation analysis. In family A, a homozygous pathogenic variant in </w:t>
      </w:r>
      <w:r w:rsidRPr="00DD1D40">
        <w:rPr>
          <w:rFonts w:cstheme="minorHAnsi"/>
          <w:i/>
          <w:sz w:val="18"/>
          <w:szCs w:val="24"/>
        </w:rPr>
        <w:t xml:space="preserve">ZFYVE26 </w:t>
      </w:r>
      <w:r>
        <w:rPr>
          <w:rFonts w:cstheme="minorHAnsi"/>
          <w:i/>
          <w:sz w:val="18"/>
          <w:szCs w:val="24"/>
        </w:rPr>
        <w:t xml:space="preserve"> </w:t>
      </w:r>
      <w:r w:rsidRPr="00DD1D40">
        <w:rPr>
          <w:rFonts w:cstheme="minorHAnsi"/>
          <w:sz w:val="18"/>
          <w:szCs w:val="24"/>
        </w:rPr>
        <w:t>was identified</w:t>
      </w:r>
      <w:r>
        <w:rPr>
          <w:rFonts w:cstheme="minorHAnsi"/>
          <w:sz w:val="18"/>
          <w:szCs w:val="24"/>
        </w:rPr>
        <w:t xml:space="preserve"> </w:t>
      </w:r>
      <w:r w:rsidRPr="00DD1D40">
        <w:rPr>
          <w:rFonts w:cstheme="minorHAnsi"/>
          <w:sz w:val="18"/>
          <w:szCs w:val="24"/>
        </w:rPr>
        <w:t xml:space="preserve">in one family. While in family B, a frameshift variant in </w:t>
      </w:r>
      <w:r w:rsidRPr="00DD1D40">
        <w:rPr>
          <w:rFonts w:cstheme="minorHAnsi"/>
          <w:i/>
          <w:sz w:val="18"/>
          <w:szCs w:val="24"/>
        </w:rPr>
        <w:t xml:space="preserve">CYP2U1 </w:t>
      </w:r>
      <w:r w:rsidRPr="00DD1D40">
        <w:rPr>
          <w:rFonts w:cstheme="minorHAnsi"/>
          <w:sz w:val="18"/>
          <w:szCs w:val="24"/>
        </w:rPr>
        <w:t xml:space="preserve">was identified in 4 affected individuals presented with clinical features of SPG56. Our study is the first report of </w:t>
      </w:r>
      <w:r w:rsidRPr="00DD1D40">
        <w:rPr>
          <w:rFonts w:cstheme="minorHAnsi"/>
          <w:i/>
          <w:sz w:val="18"/>
          <w:szCs w:val="24"/>
        </w:rPr>
        <w:t>ZFYVE26</w:t>
      </w:r>
      <w:r w:rsidRPr="00DD1D40">
        <w:rPr>
          <w:rFonts w:cstheme="minorHAnsi"/>
          <w:sz w:val="18"/>
          <w:szCs w:val="24"/>
        </w:rPr>
        <w:t xml:space="preserve"> mutations causing HSP in the Pakistani population and the</w:t>
      </w:r>
      <w:r>
        <w:rPr>
          <w:rFonts w:cstheme="minorHAnsi"/>
          <w:sz w:val="18"/>
          <w:szCs w:val="24"/>
        </w:rPr>
        <w:t xml:space="preserve"> </w:t>
      </w:r>
      <w:r w:rsidRPr="00DD1D40">
        <w:rPr>
          <w:rFonts w:cstheme="minorHAnsi"/>
          <w:sz w:val="18"/>
          <w:szCs w:val="24"/>
        </w:rPr>
        <w:t xml:space="preserve">second report of </w:t>
      </w:r>
      <w:r w:rsidRPr="00DD1D40">
        <w:rPr>
          <w:rFonts w:cstheme="minorHAnsi"/>
          <w:i/>
          <w:sz w:val="18"/>
          <w:szCs w:val="24"/>
        </w:rPr>
        <w:t xml:space="preserve">CYP2U1 </w:t>
      </w:r>
      <w:r w:rsidRPr="00DD1D40">
        <w:rPr>
          <w:rFonts w:cstheme="minorHAnsi"/>
          <w:sz w:val="18"/>
          <w:szCs w:val="24"/>
        </w:rPr>
        <w:t>in a Pakistani family.</w:t>
      </w:r>
      <w:r>
        <w:rPr>
          <w:rFonts w:cstheme="minorHAnsi"/>
          <w:sz w:val="18"/>
          <w:szCs w:val="24"/>
        </w:rPr>
        <w:t xml:space="preserve"> </w:t>
      </w:r>
      <w:r w:rsidRPr="00DD1D40">
        <w:rPr>
          <w:rFonts w:cstheme="minorHAnsi"/>
          <w:sz w:val="18"/>
          <w:szCs w:val="24"/>
        </w:rPr>
        <w:t xml:space="preserve">Our finding indicates that founder </w:t>
      </w:r>
      <w:r w:rsidRPr="00DD1D40">
        <w:rPr>
          <w:rFonts w:cstheme="minorHAnsi"/>
          <w:i/>
          <w:sz w:val="18"/>
          <w:szCs w:val="24"/>
        </w:rPr>
        <w:t>ZFYVE2</w:t>
      </w:r>
      <w:r w:rsidR="00681D4B">
        <w:rPr>
          <w:rFonts w:cstheme="minorHAnsi"/>
          <w:i/>
          <w:sz w:val="18"/>
          <w:szCs w:val="24"/>
        </w:rPr>
        <w:t>6</w:t>
      </w:r>
      <w:r>
        <w:rPr>
          <w:rFonts w:cstheme="minorHAnsi"/>
          <w:i/>
          <w:sz w:val="18"/>
          <w:szCs w:val="24"/>
        </w:rPr>
        <w:t xml:space="preserve"> </w:t>
      </w:r>
      <w:r w:rsidRPr="00DD1D40">
        <w:rPr>
          <w:rFonts w:cstheme="minorHAnsi"/>
          <w:sz w:val="18"/>
          <w:szCs w:val="24"/>
        </w:rPr>
        <w:t>mutations could also be present in the South Asian-Punjab area, resulting in a more worldwide distribution of</w:t>
      </w:r>
      <w:r>
        <w:rPr>
          <w:rFonts w:cstheme="minorHAnsi"/>
          <w:sz w:val="18"/>
          <w:szCs w:val="24"/>
        </w:rPr>
        <w:t xml:space="preserve"> </w:t>
      </w:r>
      <w:r w:rsidRPr="00DD1D40">
        <w:rPr>
          <w:rFonts w:cstheme="minorHAnsi"/>
          <w:sz w:val="18"/>
          <w:szCs w:val="24"/>
        </w:rPr>
        <w:t>SPG15. This highlight</w:t>
      </w:r>
      <w:r>
        <w:rPr>
          <w:rFonts w:cstheme="minorHAnsi"/>
          <w:sz w:val="18"/>
          <w:szCs w:val="24"/>
        </w:rPr>
        <w:t>s</w:t>
      </w:r>
      <w:r w:rsidRPr="00DD1D40">
        <w:rPr>
          <w:rFonts w:cstheme="minorHAnsi"/>
          <w:sz w:val="18"/>
          <w:szCs w:val="24"/>
        </w:rPr>
        <w:t xml:space="preserve"> the importance of considering SPG15 as a possible diagnosis of AR HSP, irrespectively of the</w:t>
      </w:r>
      <w:r>
        <w:rPr>
          <w:rFonts w:cstheme="minorHAnsi"/>
          <w:sz w:val="18"/>
          <w:szCs w:val="24"/>
        </w:rPr>
        <w:t xml:space="preserve"> </w:t>
      </w:r>
      <w:r w:rsidRPr="00DD1D40">
        <w:rPr>
          <w:rFonts w:cstheme="minorHAnsi"/>
          <w:sz w:val="18"/>
          <w:szCs w:val="24"/>
        </w:rPr>
        <w:t>individuals’</w:t>
      </w:r>
      <w:r>
        <w:rPr>
          <w:rFonts w:cstheme="minorHAnsi"/>
          <w:sz w:val="18"/>
          <w:szCs w:val="24"/>
        </w:rPr>
        <w:t xml:space="preserve"> </w:t>
      </w:r>
      <w:r w:rsidRPr="00DD1D40">
        <w:rPr>
          <w:rFonts w:cstheme="minorHAnsi"/>
          <w:sz w:val="18"/>
          <w:szCs w:val="24"/>
        </w:rPr>
        <w:t>ethnic background. Our findings enhance the clinical and genetic variability associated with two rare autosomal recessive HSP genes, highlighting the complexity of HSPs. These findings further emphasize the usefulness of WES as a powerful diagnostic tool.</w:t>
      </w:r>
    </w:p>
    <w:p w:rsidR="00AE3E37" w:rsidRDefault="00A9710C">
      <w:pPr>
        <w:pStyle w:val="Heading3"/>
        <w:spacing w:before="74"/>
        <w:rPr>
          <w:color w:val="BF5A14"/>
        </w:rPr>
      </w:pPr>
      <w:r>
        <w:rPr>
          <w:b w:val="0"/>
        </w:rPr>
        <w:br w:type="column"/>
      </w:r>
      <w:r>
        <w:rPr>
          <w:color w:val="BF5A14"/>
        </w:rPr>
        <w:lastRenderedPageBreak/>
        <w:t>Image</w:t>
      </w:r>
    </w:p>
    <w:p w:rsidR="008D425F" w:rsidRDefault="000239E5">
      <w:pPr>
        <w:pStyle w:val="Heading3"/>
        <w:spacing w:before="74"/>
      </w:pPr>
      <w:r>
        <w:rPr>
          <w:b w:val="0"/>
          <w:bCs w:val="0"/>
          <w:noProof/>
        </w:rPr>
        <w:drawing>
          <wp:inline distT="0" distB="0" distL="0" distR="0">
            <wp:extent cx="3431120" cy="2019141"/>
            <wp:effectExtent l="19050" t="0" r="0"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screen"/>
                    <a:srcRect/>
                    <a:stretch>
                      <a:fillRect/>
                    </a:stretch>
                  </pic:blipFill>
                  <pic:spPr bwMode="auto">
                    <a:xfrm>
                      <a:off x="0" y="0"/>
                      <a:ext cx="3445568" cy="2027643"/>
                    </a:xfrm>
                    <a:prstGeom prst="rect">
                      <a:avLst/>
                    </a:prstGeom>
                    <a:noFill/>
                    <a:ln w="9525">
                      <a:noFill/>
                      <a:miter lim="800000"/>
                      <a:headEnd/>
                      <a:tailEnd/>
                    </a:ln>
                  </pic:spPr>
                </pic:pic>
              </a:graphicData>
            </a:graphic>
          </wp:inline>
        </w:drawing>
      </w:r>
    </w:p>
    <w:p w:rsidR="00AE3E37" w:rsidRDefault="00AE3E37">
      <w:pPr>
        <w:pStyle w:val="BodyText"/>
        <w:spacing w:before="2"/>
        <w:rPr>
          <w:rFonts w:ascii="Arial"/>
          <w:b/>
          <w:sz w:val="16"/>
        </w:rPr>
      </w:pPr>
    </w:p>
    <w:p w:rsidR="005973B9" w:rsidRDefault="005973B9" w:rsidP="003C6C79">
      <w:pPr>
        <w:spacing w:line="204" w:lineRule="exact"/>
        <w:jc w:val="both"/>
        <w:rPr>
          <w:rFonts w:ascii="Arial"/>
          <w:b/>
          <w:sz w:val="20"/>
        </w:rPr>
      </w:pPr>
      <w:r>
        <w:rPr>
          <w:rFonts w:ascii="Arial"/>
          <w:b/>
          <w:color w:val="BF5A14"/>
          <w:sz w:val="20"/>
        </w:rPr>
        <w:br/>
        <w:t xml:space="preserve">Recent Publications </w:t>
      </w:r>
    </w:p>
    <w:p w:rsidR="008D425F" w:rsidRDefault="008D425F" w:rsidP="005973B9">
      <w:pPr>
        <w:pStyle w:val="ListParagraph"/>
        <w:numPr>
          <w:ilvl w:val="0"/>
          <w:numId w:val="3"/>
        </w:numPr>
        <w:tabs>
          <w:tab w:val="left" w:pos="384"/>
        </w:tabs>
        <w:spacing w:before="103" w:line="216" w:lineRule="exact"/>
        <w:ind w:right="138" w:hanging="283"/>
        <w:rPr>
          <w:sz w:val="18"/>
        </w:rPr>
      </w:pPr>
      <w:r w:rsidRPr="008D425F">
        <w:rPr>
          <w:sz w:val="18"/>
        </w:rPr>
        <w:t>Vantaggiato, C., Panzeri, E., Castelli, M., Citterio, A., Arnoldi, A., Santorelli, F. M., ... &amp; Clementi, E. (2019). ZFYVE26/SPASTIZIN and SPG11/SPATACSIN mutations in hereditary spastic paraplegia types AR-SPG15 and AR-SPG11 have different effects on autophagy an</w:t>
      </w:r>
      <w:r>
        <w:rPr>
          <w:sz w:val="18"/>
        </w:rPr>
        <w:t>d endocytosis. Autophagy, 15(1):</w:t>
      </w:r>
      <w:r w:rsidRPr="008D425F">
        <w:rPr>
          <w:sz w:val="18"/>
        </w:rPr>
        <w:t xml:space="preserve"> 34-57.</w:t>
      </w:r>
    </w:p>
    <w:p w:rsidR="008D425F" w:rsidRDefault="008D425F" w:rsidP="008D425F">
      <w:pPr>
        <w:pStyle w:val="ListParagraph"/>
        <w:numPr>
          <w:ilvl w:val="0"/>
          <w:numId w:val="3"/>
        </w:numPr>
        <w:tabs>
          <w:tab w:val="left" w:pos="384"/>
        </w:tabs>
        <w:spacing w:line="216" w:lineRule="exact"/>
        <w:ind w:right="137" w:hanging="283"/>
        <w:rPr>
          <w:sz w:val="18"/>
        </w:rPr>
      </w:pPr>
      <w:r w:rsidRPr="008D425F">
        <w:rPr>
          <w:sz w:val="18"/>
        </w:rPr>
        <w:t>Zulfiqar, S., Tariq, M., Ali, Z., Fatima, A., Klar, J., Abdullah, U., ... &amp; Khan, A. (2019). Whole exome sequencing identifies novel variant underlying hereditary spastic paraplegia in consanguineous Pakistani families. Journ</w:t>
      </w:r>
      <w:r>
        <w:rPr>
          <w:sz w:val="18"/>
        </w:rPr>
        <w:t>al of Clinical Neuroscience, 67:</w:t>
      </w:r>
      <w:r w:rsidRPr="008D425F">
        <w:rPr>
          <w:sz w:val="18"/>
        </w:rPr>
        <w:t xml:space="preserve"> 19-23.</w:t>
      </w:r>
    </w:p>
    <w:p w:rsidR="00AE3E37" w:rsidRPr="008D425F" w:rsidRDefault="008D425F" w:rsidP="008D425F">
      <w:pPr>
        <w:pStyle w:val="ListParagraph"/>
        <w:numPr>
          <w:ilvl w:val="0"/>
          <w:numId w:val="3"/>
        </w:numPr>
        <w:tabs>
          <w:tab w:val="left" w:pos="384"/>
        </w:tabs>
        <w:spacing w:before="85" w:line="216" w:lineRule="exact"/>
        <w:ind w:right="138"/>
        <w:rPr>
          <w:sz w:val="18"/>
        </w:rPr>
      </w:pPr>
      <w:r w:rsidRPr="008D425F">
        <w:rPr>
          <w:sz w:val="18"/>
        </w:rPr>
        <w:t>Denton, K. R., Xu, C., Shah, H., &amp; Li, X. J. (2016). Modeling axonal defects in hereditary spastic paraplegia with human pluripotent stem cells. Frontiers in biology, 11(5), 339-354.</w:t>
      </w:r>
    </w:p>
    <w:p w:rsidR="008D425F" w:rsidRPr="008D425F" w:rsidRDefault="008D425F" w:rsidP="008D425F">
      <w:pPr>
        <w:pStyle w:val="ListParagraph"/>
        <w:numPr>
          <w:ilvl w:val="0"/>
          <w:numId w:val="3"/>
        </w:numPr>
        <w:tabs>
          <w:tab w:val="left" w:pos="384"/>
        </w:tabs>
        <w:spacing w:before="85" w:line="216" w:lineRule="exact"/>
        <w:ind w:right="138"/>
        <w:rPr>
          <w:sz w:val="18"/>
        </w:rPr>
      </w:pPr>
      <w:r w:rsidRPr="008D425F">
        <w:rPr>
          <w:sz w:val="18"/>
        </w:rPr>
        <w:t>Masciullo, M., Tessa, A., Perazza, S., Santorelli, F. M., Perna, A., &amp; Silvestri, G. (2016). Hereditary spastic paraplegia: novel mutations and expansion of the phenotype variability in SPG56. european journal of paediatric neurology, 20(3), 444-448.</w:t>
      </w:r>
    </w:p>
    <w:p w:rsidR="008D425F" w:rsidRPr="008D425F" w:rsidRDefault="008D425F" w:rsidP="008D425F">
      <w:pPr>
        <w:pStyle w:val="ListParagraph"/>
        <w:numPr>
          <w:ilvl w:val="0"/>
          <w:numId w:val="3"/>
        </w:numPr>
        <w:tabs>
          <w:tab w:val="left" w:pos="384"/>
        </w:tabs>
        <w:spacing w:before="85" w:line="216" w:lineRule="exact"/>
        <w:ind w:right="138"/>
        <w:rPr>
          <w:sz w:val="18"/>
        </w:rPr>
      </w:pPr>
      <w:r w:rsidRPr="008D425F">
        <w:rPr>
          <w:sz w:val="18"/>
        </w:rPr>
        <w:t>Kariminejad, A., Schöls, L., Schüle, R., Tonekaboni, S. H., Abolhassani, A., Fadaee, M., ... &amp; Gleeson, J. G. (2016). CYP2U1 mutations in two Iranian patients with activity induced dystonia, motor regression and spastic paraplegia. European Journal of Paediatric Neurology, 20(5), 782-787.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Pr="00D62425" w:rsidRDefault="00D62425">
      <w:pPr>
        <w:pStyle w:val="BodyText"/>
        <w:rPr>
          <w:rFonts w:ascii="Calibri"/>
          <w:b/>
          <w:sz w:val="20"/>
        </w:rPr>
      </w:pPr>
      <w:r w:rsidRPr="00D62425">
        <w:rPr>
          <w:rFonts w:ascii="Calibri"/>
          <w:b/>
          <w:sz w:val="20"/>
        </w:rPr>
        <w:lastRenderedPageBreak/>
        <w:t>Photograph</w:t>
      </w:r>
    </w:p>
    <w:p w:rsidR="00AE3E37" w:rsidRDefault="00D51000">
      <w:pPr>
        <w:pStyle w:val="BodyText"/>
        <w:spacing w:line="40" w:lineRule="exact"/>
        <w:ind w:left="2202"/>
        <w:rPr>
          <w:rFonts w:ascii="Calibri"/>
          <w:sz w:val="4"/>
        </w:rPr>
      </w:pPr>
      <w:r w:rsidRPr="00D51000">
        <w:rPr>
          <w:rFonts w:ascii="Calibri"/>
          <w:noProof/>
          <w:sz w:val="4"/>
          <w:lang w:val="en-IN" w:eastAsia="en-IN"/>
        </w:rPr>
      </w:r>
      <w:r w:rsidRPr="00D51000">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B63F82" w:rsidP="00404E5B">
      <w:pPr>
        <w:spacing w:before="92"/>
        <w:ind w:right="4234"/>
        <w:rPr>
          <w:rFonts w:ascii="Arial"/>
        </w:rPr>
      </w:pPr>
      <w:r>
        <w:rPr>
          <w:noProof/>
        </w:rPr>
        <w:drawing>
          <wp:inline distT="0" distB="0" distL="0" distR="0">
            <wp:extent cx="650607" cy="528225"/>
            <wp:effectExtent l="1905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a:stretch>
                      <a:fillRect/>
                    </a:stretch>
                  </pic:blipFill>
                  <pic:spPr bwMode="auto">
                    <a:xfrm>
                      <a:off x="0" y="0"/>
                      <a:ext cx="654250" cy="531183"/>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w:t>
      </w:r>
    </w:p>
    <w:p w:rsidR="0010111B" w:rsidRPr="0010111B" w:rsidRDefault="0010111B" w:rsidP="0010111B">
      <w:pPr>
        <w:pStyle w:val="BodyText"/>
        <w:spacing w:before="3"/>
        <w:rPr>
          <w:rFonts w:ascii="Arial" w:hAnsi="Arial" w:cs="Arial"/>
          <w:sz w:val="14"/>
        </w:rPr>
      </w:pPr>
      <w:r w:rsidRPr="0010111B">
        <w:rPr>
          <w:rFonts w:ascii="Arial" w:hAnsi="Arial" w:cs="Arial"/>
          <w:sz w:val="14"/>
        </w:rPr>
        <w:t>Dr has her expertise in evaluation and passion in improving the health and wellbeing. She is carrying out a research programme of genetic and pathological investigations into human neurodegeneration. These genetic and neuropathological studies integrating functional in vitro research will translate this research into disease modifying treatment for human diseases.</w:t>
      </w:r>
    </w:p>
    <w:p w:rsidR="00AE3E37" w:rsidRDefault="00A9710C">
      <w:pPr>
        <w:spacing w:before="41" w:line="154" w:lineRule="exact"/>
        <w:ind w:left="213" w:right="231"/>
        <w:jc w:val="both"/>
        <w:rPr>
          <w:rFonts w:ascii="Arial"/>
          <w:sz w:val="14"/>
        </w:rPr>
      </w:pPr>
      <w:r w:rsidRPr="000239E5">
        <w:rPr>
          <w:rFonts w:ascii="Arial"/>
          <w:sz w:val="14"/>
          <w:highlight w:val="yellow"/>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10111B" w:rsidRPr="00EC1EE0">
          <w:rPr>
            <w:rStyle w:val="Hyperlink"/>
            <w:rFonts w:ascii="Arial"/>
            <w:sz w:val="14"/>
          </w:rPr>
          <w:t>farah.bibi88@gmail.com</w:t>
        </w:r>
      </w:hyperlink>
    </w:p>
    <w:p w:rsidR="00AE3E37" w:rsidRDefault="00D51000">
      <w:pPr>
        <w:pStyle w:val="BodyText"/>
        <w:spacing w:before="2"/>
        <w:rPr>
          <w:rFonts w:ascii="Arial"/>
          <w:sz w:val="19"/>
        </w:rPr>
      </w:pPr>
      <w:bookmarkStart w:id="0" w:name="_GoBack"/>
      <w:bookmarkEnd w:id="0"/>
      <w:r w:rsidRPr="00D51000">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p w:rsidR="0010111B" w:rsidRDefault="0010111B">
      <w:pPr>
        <w:pStyle w:val="BodyText"/>
        <w:spacing w:before="3"/>
        <w:rPr>
          <w:rFonts w:ascii="Minion Pro"/>
          <w:sz w:val="26"/>
        </w:rPr>
      </w:pPr>
    </w:p>
    <w:p w:rsidR="0010111B" w:rsidRDefault="0010111B">
      <w:pPr>
        <w:pStyle w:val="BodyText"/>
        <w:spacing w:before="3"/>
        <w:rPr>
          <w:rFonts w:ascii="Minion Pro"/>
          <w:sz w:val="26"/>
        </w:rPr>
      </w:pPr>
    </w:p>
    <w:p w:rsidR="0010111B" w:rsidRDefault="0010111B">
      <w:pPr>
        <w:pStyle w:val="BodyText"/>
        <w:spacing w:before="3"/>
        <w:rPr>
          <w:rFonts w:ascii="Minion Pro"/>
          <w:sz w:val="26"/>
        </w:rPr>
      </w:pPr>
    </w:p>
    <w:sectPr w:rsidR="0010111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1767" w:rsidRDefault="003F1767">
      <w:r>
        <w:separator/>
      </w:r>
    </w:p>
  </w:endnote>
  <w:endnote w:type="continuationSeparator" w:id="1">
    <w:p w:rsidR="003F1767" w:rsidRDefault="003F176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51000">
    <w:pPr>
      <w:pStyle w:val="BodyText"/>
      <w:spacing w:line="14" w:lineRule="auto"/>
      <w:rPr>
        <w:sz w:val="20"/>
      </w:rPr>
    </w:pPr>
    <w:r w:rsidRPr="00D51000">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D51000">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D51000">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1767" w:rsidRDefault="003F1767">
      <w:r>
        <w:separator/>
      </w:r>
    </w:p>
  </w:footnote>
  <w:footnote w:type="continuationSeparator" w:id="1">
    <w:p w:rsidR="003F1767" w:rsidRDefault="003F176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51000">
    <w:pPr>
      <w:pStyle w:val="BodyText"/>
      <w:spacing w:line="14" w:lineRule="auto"/>
      <w:rPr>
        <w:sz w:val="20"/>
      </w:rPr>
    </w:pPr>
    <w:r w:rsidRPr="00D51000">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D51000">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E86ABAD8"/>
    <w:lvl w:ilvl="0" w:tplc="69F8E338">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0"/>
    <w:footnote w:id="1"/>
  </w:footnotePr>
  <w:endnotePr>
    <w:endnote w:id="0"/>
    <w:endnote w:id="1"/>
  </w:endnotePr>
  <w:compat>
    <w:ulTrailSpace/>
  </w:compat>
  <w:rsids>
    <w:rsidRoot w:val="00AE3E37"/>
    <w:rsid w:val="000239E5"/>
    <w:rsid w:val="000E2911"/>
    <w:rsid w:val="0010111B"/>
    <w:rsid w:val="001263DF"/>
    <w:rsid w:val="001E763C"/>
    <w:rsid w:val="00292ED9"/>
    <w:rsid w:val="00314AFB"/>
    <w:rsid w:val="003554BE"/>
    <w:rsid w:val="003B76D9"/>
    <w:rsid w:val="003C6C79"/>
    <w:rsid w:val="003F1767"/>
    <w:rsid w:val="00404E5B"/>
    <w:rsid w:val="00414F7B"/>
    <w:rsid w:val="004355DC"/>
    <w:rsid w:val="004749B4"/>
    <w:rsid w:val="00494130"/>
    <w:rsid w:val="004F3523"/>
    <w:rsid w:val="005973B9"/>
    <w:rsid w:val="005B3A56"/>
    <w:rsid w:val="006060CE"/>
    <w:rsid w:val="0063497F"/>
    <w:rsid w:val="00681D4B"/>
    <w:rsid w:val="0078738A"/>
    <w:rsid w:val="00873DF0"/>
    <w:rsid w:val="008756E6"/>
    <w:rsid w:val="008D425F"/>
    <w:rsid w:val="0094414C"/>
    <w:rsid w:val="00952D12"/>
    <w:rsid w:val="009B2D44"/>
    <w:rsid w:val="00A07E82"/>
    <w:rsid w:val="00A332E4"/>
    <w:rsid w:val="00A9710C"/>
    <w:rsid w:val="00AE3E37"/>
    <w:rsid w:val="00B21A57"/>
    <w:rsid w:val="00B63F82"/>
    <w:rsid w:val="00C33602"/>
    <w:rsid w:val="00CD6F55"/>
    <w:rsid w:val="00D51000"/>
    <w:rsid w:val="00D62425"/>
    <w:rsid w:val="00DD1D40"/>
    <w:rsid w:val="00DE3104"/>
    <w:rsid w:val="00E76007"/>
    <w:rsid w:val="00F524CB"/>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arah.bibi88@g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Pages>
  <Words>574</Words>
  <Characters>3273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Bassamo</cp:lastModifiedBy>
  <cp:revision>9</cp:revision>
  <dcterms:created xsi:type="dcterms:W3CDTF">2016-08-31T13:10:00Z</dcterms:created>
  <dcterms:modified xsi:type="dcterms:W3CDTF">2020-03-19T19:43:00Z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