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06C1E" w:rsidP="00494130">
      <w:pPr>
        <w:pStyle w:val="Heading1"/>
        <w:spacing w:before="170"/>
        <w:ind w:left="0"/>
      </w:pPr>
      <w:r w:rsidRPr="00706C1E">
        <w:rPr>
          <w:color w:val="337AB7"/>
        </w:rPr>
        <w:t>S-</w:t>
      </w:r>
      <w:proofErr w:type="spellStart"/>
      <w:r w:rsidRPr="00706C1E">
        <w:rPr>
          <w:color w:val="337AB7"/>
        </w:rPr>
        <w:t>Nitrosylation</w:t>
      </w:r>
      <w:proofErr w:type="spellEnd"/>
      <w:r w:rsidRPr="00706C1E">
        <w:rPr>
          <w:color w:val="337AB7"/>
        </w:rPr>
        <w:t xml:space="preserve"> of </w:t>
      </w:r>
      <w:proofErr w:type="spellStart"/>
      <w:r w:rsidRPr="00706C1E">
        <w:rPr>
          <w:color w:val="337AB7"/>
        </w:rPr>
        <w:t>transglutaminase</w:t>
      </w:r>
      <w:proofErr w:type="spellEnd"/>
      <w:r w:rsidRPr="00706C1E">
        <w:rPr>
          <w:color w:val="337AB7"/>
        </w:rPr>
        <w:t xml:space="preserve"> 2 impairs fatty acid-stimulated contraction in hypertensive </w:t>
      </w:r>
      <w:proofErr w:type="spellStart"/>
      <w:r w:rsidRPr="00706C1E">
        <w:rPr>
          <w:color w:val="337AB7"/>
        </w:rPr>
        <w:t>cardiomyocytes</w:t>
      </w:r>
      <w:proofErr w:type="spellEnd"/>
    </w:p>
    <w:p w:rsidR="00F5298A" w:rsidRDefault="00F5298A" w:rsidP="00706C1E">
      <w:pPr>
        <w:pStyle w:val="BodyText"/>
        <w:spacing w:before="73" w:line="198" w:lineRule="exact"/>
        <w:ind w:left="100" w:right="5987"/>
        <w:rPr>
          <w:rFonts w:ascii="Arial"/>
        </w:rPr>
      </w:pPr>
    </w:p>
    <w:p w:rsidR="005973B9" w:rsidRDefault="00706C1E" w:rsidP="00706C1E">
      <w:pPr>
        <w:pStyle w:val="BodyText"/>
        <w:spacing w:before="73" w:line="198" w:lineRule="exact"/>
        <w:ind w:left="100" w:right="5987"/>
        <w:rPr>
          <w:rFonts w:ascii="Arial"/>
        </w:rPr>
      </w:pPr>
      <w:r>
        <w:rPr>
          <w:rFonts w:ascii="Arial"/>
        </w:rPr>
        <w:t xml:space="preserve">Yin Hua Zhang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706C1E">
      <w:pPr>
        <w:pStyle w:val="BodyText"/>
        <w:spacing w:before="90" w:line="280" w:lineRule="auto"/>
        <w:ind w:left="100"/>
        <w:jc w:val="both"/>
      </w:pPr>
      <w:proofErr w:type="spellStart"/>
      <w:r w:rsidRPr="00706C1E">
        <w:t>Transglutaminase</w:t>
      </w:r>
      <w:proofErr w:type="spellEnd"/>
      <w:r w:rsidRPr="00706C1E">
        <w:t xml:space="preserve"> 2 (TG2) is a calcium-dependent enzyme and TG2-mediated modifications modulate the activities of a number of substrate proteins</w:t>
      </w:r>
      <w:r w:rsidR="00455720">
        <w:t xml:space="preserve"> [1]</w:t>
      </w:r>
      <w:r w:rsidRPr="00706C1E">
        <w:t>. Elevated levels of TG2 activity have been shown to be associated with increased cell survival, inflammatory response, and extracellular matrix formation</w:t>
      </w:r>
      <w:r w:rsidR="00455720">
        <w:t xml:space="preserve"> [2]</w:t>
      </w:r>
      <w:r w:rsidRPr="00706C1E">
        <w:t>. In the cardiovascular system, TG2 has been reported to be involved in the development of cardiac hypertrophy, vessel remodeling, and age-related vascular stiffness</w:t>
      </w:r>
      <w:r w:rsidR="00455720">
        <w:t xml:space="preserve"> [3-</w:t>
      </w:r>
      <w:r w:rsidR="000B688C">
        <w:t>6</w:t>
      </w:r>
      <w:r w:rsidR="00455720">
        <w:t>]</w:t>
      </w:r>
      <w:r w:rsidRPr="00706C1E">
        <w:t>. Interestingly, TG2 is implicated in the regulation of ATP synthesis and transport via modification of respiratory complexes and the ADP/ATP transporter in the mitochondria of skeletal muscle and myocardium, thereby increasing exercise tolerance</w:t>
      </w:r>
      <w:r w:rsidR="00455720">
        <w:t xml:space="preserve"> [7]</w:t>
      </w:r>
      <w:r w:rsidRPr="00706C1E">
        <w:t xml:space="preserve">. However, the role of TG2 in the heart during conditions of pressure overload, especially in relation to ATP production from fatty acid (FA) oxidation in the mitochondria, has not been investigated. In this study, we investigated the involvement of TG2 in </w:t>
      </w:r>
      <w:proofErr w:type="spellStart"/>
      <w:r w:rsidRPr="00706C1E">
        <w:t>cardiomyocyte</w:t>
      </w:r>
      <w:proofErr w:type="spellEnd"/>
      <w:r w:rsidRPr="00706C1E">
        <w:t xml:space="preserve"> contraction under FA supplementation. Using TG2 inhibitor and TG2-deficient mice, we demonstrated that FA-supplementation activated TG2 and increased ATP level and contractility of cardiac </w:t>
      </w:r>
      <w:proofErr w:type="spellStart"/>
      <w:r w:rsidRPr="00706C1E">
        <w:t>myocyte</w:t>
      </w:r>
      <w:proofErr w:type="spellEnd"/>
      <w:r w:rsidRPr="00706C1E">
        <w:t xml:space="preserve"> from normal heart. By contrast, in cardiac </w:t>
      </w:r>
      <w:proofErr w:type="spellStart"/>
      <w:r w:rsidRPr="00706C1E">
        <w:t>myocytes</w:t>
      </w:r>
      <w:proofErr w:type="spellEnd"/>
      <w:r w:rsidRPr="00706C1E">
        <w:t xml:space="preserve"> from angiotensin-II treated rats and mice, the effects of FA-supplementation on TG2 activity, ATP level and </w:t>
      </w:r>
      <w:proofErr w:type="spellStart"/>
      <w:r w:rsidRPr="00706C1E">
        <w:t>myocyte</w:t>
      </w:r>
      <w:proofErr w:type="spellEnd"/>
      <w:r w:rsidRPr="00706C1E">
        <w:t xml:space="preserve"> contraction were abolished. We found that TG2 was inhibited by S-</w:t>
      </w:r>
      <w:proofErr w:type="spellStart"/>
      <w:r w:rsidRPr="00706C1E">
        <w:t>nitrosylation</w:t>
      </w:r>
      <w:proofErr w:type="spellEnd"/>
      <w:r w:rsidRPr="00706C1E">
        <w:t xml:space="preserve"> and its level increased in hypertensive </w:t>
      </w:r>
      <w:proofErr w:type="spellStart"/>
      <w:r w:rsidRPr="00706C1E">
        <w:t>myocytes</w:t>
      </w:r>
      <w:proofErr w:type="spellEnd"/>
      <w:r w:rsidRPr="00706C1E">
        <w:t>. Treatment with inhibitor for neuronal nitric oxide synthase (</w:t>
      </w:r>
      <w:proofErr w:type="spellStart"/>
      <w:r w:rsidRPr="00706C1E">
        <w:t>nNOS</w:t>
      </w:r>
      <w:proofErr w:type="spellEnd"/>
      <w:r w:rsidRPr="00706C1E">
        <w:t xml:space="preserve">) restored FA-induced increase of TG2 activity and </w:t>
      </w:r>
      <w:proofErr w:type="spellStart"/>
      <w:r w:rsidRPr="00706C1E">
        <w:t>myocyte</w:t>
      </w:r>
      <w:proofErr w:type="spellEnd"/>
      <w:r w:rsidRPr="00706C1E">
        <w:t xml:space="preserve"> contraction. Moreover, intracellular Ca</w:t>
      </w:r>
      <w:r w:rsidRPr="00B21D58">
        <w:rPr>
          <w:vertAlign w:val="superscript"/>
        </w:rPr>
        <w:t>2+</w:t>
      </w:r>
      <w:r w:rsidRPr="00706C1E">
        <w:t xml:space="preserve"> levels were increased by FA-supplementation in both normal and hypertensive </w:t>
      </w:r>
      <w:proofErr w:type="spellStart"/>
      <w:r w:rsidRPr="00706C1E">
        <w:t>myocytes</w:t>
      </w:r>
      <w:proofErr w:type="spellEnd"/>
      <w:r w:rsidRPr="00706C1E">
        <w:t>, showing that S-</w:t>
      </w:r>
      <w:proofErr w:type="spellStart"/>
      <w:r w:rsidRPr="00706C1E">
        <w:t>nitrosylation</w:t>
      </w:r>
      <w:proofErr w:type="spellEnd"/>
      <w:r w:rsidRPr="00706C1E">
        <w:t xml:space="preserve"> of TG2 but not alteration of intracellular Ca2+ levels is responsible for contractile dysfunction. These results indicate that TG2 plays a critical role in the regulation of </w:t>
      </w:r>
      <w:proofErr w:type="spellStart"/>
      <w:r w:rsidRPr="00706C1E">
        <w:t>myocyte</w:t>
      </w:r>
      <w:proofErr w:type="spellEnd"/>
      <w:r w:rsidRPr="00706C1E">
        <w:t xml:space="preserve"> contractility by promoting FA metabolism, and provide a novel target for preventing contractile dysfunction in heart with high work-load.</w:t>
      </w:r>
    </w:p>
    <w:p w:rsidR="005973B9" w:rsidRDefault="00A9710C" w:rsidP="00CA7322">
      <w:pPr>
        <w:pStyle w:val="Heading3"/>
        <w:spacing w:before="74"/>
        <w:rPr>
          <w:color w:val="BF5A14"/>
        </w:rPr>
      </w:pPr>
      <w:r>
        <w:rPr>
          <w:b w:val="0"/>
        </w:rPr>
        <w:br w:type="column"/>
      </w:r>
      <w:r w:rsidR="005973B9">
        <w:rPr>
          <w:color w:val="BF5A14"/>
        </w:rPr>
        <w:lastRenderedPageBreak/>
        <w:br/>
        <w:t>Recent Publications (minimum 5)</w:t>
      </w:r>
    </w:p>
    <w:p w:rsidR="000B688C" w:rsidRDefault="000B688C" w:rsidP="00CA7322">
      <w:pPr>
        <w:pStyle w:val="Heading3"/>
        <w:spacing w:before="74"/>
        <w:rPr>
          <w:b w:val="0"/>
        </w:rPr>
      </w:pP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 xml:space="preserve">Facchiano F, Facchiano A, Facchiano AM. The role of transglutaminase-2 and its substrates in human diseases. </w:t>
      </w:r>
      <w:r w:rsidRPr="00706C1E">
        <w:rPr>
          <w:rFonts w:ascii="Tw Cen MT" w:hAnsi="Tw Cen MT"/>
          <w:i/>
          <w:sz w:val="18"/>
          <w:szCs w:val="18"/>
        </w:rPr>
        <w:t xml:space="preserve">Front Biosci </w:t>
      </w:r>
      <w:r w:rsidRPr="00706C1E">
        <w:rPr>
          <w:rFonts w:ascii="Tw Cen MT" w:hAnsi="Tw Cen MT"/>
          <w:sz w:val="18"/>
          <w:szCs w:val="18"/>
        </w:rPr>
        <w:t xml:space="preserve">2006; </w:t>
      </w:r>
      <w:r w:rsidRPr="00706C1E">
        <w:rPr>
          <w:rFonts w:ascii="Tw Cen MT" w:hAnsi="Tw Cen MT"/>
          <w:b/>
          <w:sz w:val="18"/>
          <w:szCs w:val="18"/>
        </w:rPr>
        <w:t xml:space="preserve">11: </w:t>
      </w:r>
      <w:r w:rsidRPr="00706C1E">
        <w:rPr>
          <w:rFonts w:ascii="Tw Cen MT" w:hAnsi="Tw Cen MT"/>
          <w:sz w:val="18"/>
          <w:szCs w:val="18"/>
        </w:rPr>
        <w:t>1758-73.</w:t>
      </w: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 xml:space="preserve">Iismaa SE, Mearns BM, Lorand L, Graham RM. Transglutaminases and disease: lessons from genetically engineered mouse models and inherited disorders. </w:t>
      </w:r>
      <w:r w:rsidRPr="00706C1E">
        <w:rPr>
          <w:rFonts w:ascii="Tw Cen MT" w:hAnsi="Tw Cen MT"/>
          <w:i/>
          <w:sz w:val="18"/>
          <w:szCs w:val="18"/>
        </w:rPr>
        <w:t xml:space="preserve">Physiol Rev </w:t>
      </w:r>
      <w:r w:rsidRPr="00706C1E">
        <w:rPr>
          <w:rFonts w:ascii="Tw Cen MT" w:hAnsi="Tw Cen MT"/>
          <w:sz w:val="18"/>
          <w:szCs w:val="18"/>
        </w:rPr>
        <w:t xml:space="preserve">2009; </w:t>
      </w:r>
      <w:r w:rsidRPr="00706C1E">
        <w:rPr>
          <w:rFonts w:ascii="Tw Cen MT" w:hAnsi="Tw Cen MT"/>
          <w:b/>
          <w:sz w:val="18"/>
          <w:szCs w:val="18"/>
        </w:rPr>
        <w:t>89</w:t>
      </w:r>
      <w:r w:rsidRPr="00706C1E">
        <w:rPr>
          <w:rFonts w:ascii="Tw Cen MT" w:hAnsi="Tw Cen MT"/>
          <w:sz w:val="18"/>
          <w:szCs w:val="18"/>
        </w:rPr>
        <w:t>(3)</w:t>
      </w:r>
      <w:r w:rsidRPr="00706C1E">
        <w:rPr>
          <w:rFonts w:ascii="Tw Cen MT" w:hAnsi="Tw Cen MT"/>
          <w:b/>
          <w:sz w:val="18"/>
          <w:szCs w:val="18"/>
        </w:rPr>
        <w:t xml:space="preserve">: </w:t>
      </w:r>
      <w:r w:rsidRPr="00706C1E">
        <w:rPr>
          <w:rFonts w:ascii="Tw Cen MT" w:hAnsi="Tw Cen MT"/>
          <w:sz w:val="18"/>
          <w:szCs w:val="18"/>
        </w:rPr>
        <w:t>991-1023.</w:t>
      </w: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Zhang Z, Vezza R, Plappert T, McNamara P, Lawson JA, Austin S</w:t>
      </w:r>
      <w:r w:rsidRPr="00706C1E">
        <w:rPr>
          <w:rFonts w:ascii="Tw Cen MT" w:hAnsi="Tw Cen MT"/>
          <w:i/>
          <w:sz w:val="18"/>
          <w:szCs w:val="18"/>
        </w:rPr>
        <w:t xml:space="preserve"> et al.</w:t>
      </w:r>
      <w:r w:rsidRPr="00706C1E">
        <w:rPr>
          <w:rFonts w:ascii="Tw Cen MT" w:hAnsi="Tw Cen MT"/>
          <w:sz w:val="18"/>
          <w:szCs w:val="18"/>
        </w:rPr>
        <w:t xml:space="preserve"> COX-2-dependent cardiac failure in Gh/tTG transgenic mice. </w:t>
      </w:r>
      <w:r w:rsidRPr="00706C1E">
        <w:rPr>
          <w:rFonts w:ascii="Tw Cen MT" w:hAnsi="Tw Cen MT"/>
          <w:i/>
          <w:sz w:val="18"/>
          <w:szCs w:val="18"/>
        </w:rPr>
        <w:t xml:space="preserve">Circ Res </w:t>
      </w:r>
      <w:r w:rsidRPr="00706C1E">
        <w:rPr>
          <w:rFonts w:ascii="Tw Cen MT" w:hAnsi="Tw Cen MT"/>
          <w:sz w:val="18"/>
          <w:szCs w:val="18"/>
        </w:rPr>
        <w:t xml:space="preserve">2003; </w:t>
      </w:r>
      <w:r w:rsidRPr="00706C1E">
        <w:rPr>
          <w:rFonts w:ascii="Tw Cen MT" w:hAnsi="Tw Cen MT"/>
          <w:b/>
          <w:sz w:val="18"/>
          <w:szCs w:val="18"/>
        </w:rPr>
        <w:t>92</w:t>
      </w:r>
      <w:r w:rsidRPr="00706C1E">
        <w:rPr>
          <w:rFonts w:ascii="Tw Cen MT" w:hAnsi="Tw Cen MT"/>
          <w:sz w:val="18"/>
          <w:szCs w:val="18"/>
        </w:rPr>
        <w:t>(10)</w:t>
      </w:r>
      <w:r w:rsidRPr="00706C1E">
        <w:rPr>
          <w:rFonts w:ascii="Tw Cen MT" w:hAnsi="Tw Cen MT"/>
          <w:b/>
          <w:sz w:val="18"/>
          <w:szCs w:val="18"/>
        </w:rPr>
        <w:t xml:space="preserve">: </w:t>
      </w:r>
      <w:r w:rsidRPr="00706C1E">
        <w:rPr>
          <w:rFonts w:ascii="Tw Cen MT" w:hAnsi="Tw Cen MT"/>
          <w:sz w:val="18"/>
          <w:szCs w:val="18"/>
        </w:rPr>
        <w:t>1153-61.</w:t>
      </w: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Santhanam L, Tuday EC, Webb AK, Dowzicky P, Kim JH, Oh YJ</w:t>
      </w:r>
      <w:r w:rsidRPr="00706C1E">
        <w:rPr>
          <w:rFonts w:ascii="Tw Cen MT" w:hAnsi="Tw Cen MT"/>
          <w:i/>
          <w:sz w:val="18"/>
          <w:szCs w:val="18"/>
        </w:rPr>
        <w:t xml:space="preserve"> et al.</w:t>
      </w:r>
      <w:r w:rsidRPr="00706C1E">
        <w:rPr>
          <w:rFonts w:ascii="Tw Cen MT" w:hAnsi="Tw Cen MT"/>
          <w:sz w:val="18"/>
          <w:szCs w:val="18"/>
        </w:rPr>
        <w:t xml:space="preserve"> Decreased S-nitrosylation of tissue transglutaminase contributes to age-related increases in vascular stiffness. </w:t>
      </w:r>
      <w:r w:rsidRPr="00706C1E">
        <w:rPr>
          <w:rFonts w:ascii="Tw Cen MT" w:hAnsi="Tw Cen MT"/>
          <w:i/>
          <w:sz w:val="18"/>
          <w:szCs w:val="18"/>
        </w:rPr>
        <w:t xml:space="preserve">Circ Res </w:t>
      </w:r>
      <w:r w:rsidRPr="00706C1E">
        <w:rPr>
          <w:rFonts w:ascii="Tw Cen MT" w:hAnsi="Tw Cen MT"/>
          <w:sz w:val="18"/>
          <w:szCs w:val="18"/>
        </w:rPr>
        <w:t xml:space="preserve">2010; </w:t>
      </w:r>
      <w:r w:rsidRPr="00706C1E">
        <w:rPr>
          <w:rFonts w:ascii="Tw Cen MT" w:hAnsi="Tw Cen MT"/>
          <w:b/>
          <w:sz w:val="18"/>
          <w:szCs w:val="18"/>
        </w:rPr>
        <w:t>107</w:t>
      </w:r>
      <w:r w:rsidRPr="00706C1E">
        <w:rPr>
          <w:rFonts w:ascii="Tw Cen MT" w:hAnsi="Tw Cen MT"/>
          <w:sz w:val="18"/>
          <w:szCs w:val="18"/>
        </w:rPr>
        <w:t>(1)</w:t>
      </w:r>
      <w:r w:rsidRPr="00706C1E">
        <w:rPr>
          <w:rFonts w:ascii="Tw Cen MT" w:hAnsi="Tw Cen MT"/>
          <w:b/>
          <w:sz w:val="18"/>
          <w:szCs w:val="18"/>
        </w:rPr>
        <w:t xml:space="preserve">: </w:t>
      </w:r>
      <w:r w:rsidRPr="00706C1E">
        <w:rPr>
          <w:rFonts w:ascii="Tw Cen MT" w:hAnsi="Tw Cen MT"/>
          <w:sz w:val="18"/>
          <w:szCs w:val="18"/>
        </w:rPr>
        <w:t>117-25.</w:t>
      </w: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 xml:space="preserve">Sane DC, Kontos JL, Greenberg CS. Roles of transglutaminases in cardiac and vascular diseases. </w:t>
      </w:r>
      <w:r w:rsidRPr="00706C1E">
        <w:rPr>
          <w:rFonts w:ascii="Tw Cen MT" w:hAnsi="Tw Cen MT"/>
          <w:i/>
          <w:sz w:val="18"/>
          <w:szCs w:val="18"/>
        </w:rPr>
        <w:t xml:space="preserve">Front Biosci </w:t>
      </w:r>
      <w:r w:rsidRPr="00706C1E">
        <w:rPr>
          <w:rFonts w:ascii="Tw Cen MT" w:hAnsi="Tw Cen MT"/>
          <w:sz w:val="18"/>
          <w:szCs w:val="18"/>
        </w:rPr>
        <w:t xml:space="preserve">2007; </w:t>
      </w:r>
      <w:r w:rsidRPr="00706C1E">
        <w:rPr>
          <w:rFonts w:ascii="Tw Cen MT" w:hAnsi="Tw Cen MT"/>
          <w:b/>
          <w:sz w:val="18"/>
          <w:szCs w:val="18"/>
        </w:rPr>
        <w:t xml:space="preserve">12: </w:t>
      </w:r>
      <w:r w:rsidRPr="00706C1E">
        <w:rPr>
          <w:rFonts w:ascii="Tw Cen MT" w:hAnsi="Tw Cen MT"/>
          <w:sz w:val="18"/>
          <w:szCs w:val="18"/>
        </w:rPr>
        <w:t>2530-45.</w:t>
      </w:r>
    </w:p>
    <w:p w:rsidR="00CA7322" w:rsidRPr="00706C1E"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Min SK, Min SI, Jeong EM, Cho SY, Ha J, Kim SJ</w:t>
      </w:r>
      <w:r w:rsidRPr="00706C1E">
        <w:rPr>
          <w:rFonts w:ascii="Tw Cen MT" w:hAnsi="Tw Cen MT"/>
          <w:i/>
          <w:sz w:val="18"/>
          <w:szCs w:val="18"/>
        </w:rPr>
        <w:t xml:space="preserve"> et al.</w:t>
      </w:r>
      <w:r w:rsidRPr="00706C1E">
        <w:rPr>
          <w:rFonts w:ascii="Tw Cen MT" w:hAnsi="Tw Cen MT"/>
          <w:sz w:val="18"/>
          <w:szCs w:val="18"/>
        </w:rPr>
        <w:t xml:space="preserve"> Intimal hyperplasia in loop-injured carotid arteries is attenuated in transglutaminase 2-null mice. </w:t>
      </w:r>
      <w:r w:rsidRPr="00706C1E">
        <w:rPr>
          <w:rFonts w:ascii="Tw Cen MT" w:hAnsi="Tw Cen MT"/>
          <w:i/>
          <w:sz w:val="18"/>
          <w:szCs w:val="18"/>
        </w:rPr>
        <w:t xml:space="preserve">J Korean Med Sci </w:t>
      </w:r>
      <w:r w:rsidRPr="00706C1E">
        <w:rPr>
          <w:rFonts w:ascii="Tw Cen MT" w:hAnsi="Tw Cen MT"/>
          <w:sz w:val="18"/>
          <w:szCs w:val="18"/>
        </w:rPr>
        <w:t xml:space="preserve">2014; </w:t>
      </w:r>
      <w:r w:rsidRPr="00706C1E">
        <w:rPr>
          <w:rFonts w:ascii="Tw Cen MT" w:hAnsi="Tw Cen MT"/>
          <w:b/>
          <w:sz w:val="18"/>
          <w:szCs w:val="18"/>
        </w:rPr>
        <w:t>29</w:t>
      </w:r>
      <w:r w:rsidRPr="00706C1E">
        <w:rPr>
          <w:rFonts w:ascii="Tw Cen MT" w:hAnsi="Tw Cen MT"/>
          <w:sz w:val="18"/>
          <w:szCs w:val="18"/>
        </w:rPr>
        <w:t>(3)</w:t>
      </w:r>
      <w:r w:rsidRPr="00706C1E">
        <w:rPr>
          <w:rFonts w:ascii="Tw Cen MT" w:hAnsi="Tw Cen MT"/>
          <w:b/>
          <w:sz w:val="18"/>
          <w:szCs w:val="18"/>
        </w:rPr>
        <w:t xml:space="preserve">: </w:t>
      </w:r>
      <w:r w:rsidRPr="00706C1E">
        <w:rPr>
          <w:rFonts w:ascii="Tw Cen MT" w:hAnsi="Tw Cen MT"/>
          <w:sz w:val="18"/>
          <w:szCs w:val="18"/>
        </w:rPr>
        <w:t>363-9.</w:t>
      </w:r>
    </w:p>
    <w:p w:rsidR="00CA7322" w:rsidRDefault="00CA7322" w:rsidP="00706C1E">
      <w:pPr>
        <w:pStyle w:val="EndNoteBibliography"/>
        <w:numPr>
          <w:ilvl w:val="0"/>
          <w:numId w:val="4"/>
        </w:numPr>
        <w:ind w:left="720" w:hanging="294"/>
        <w:rPr>
          <w:rFonts w:ascii="Tw Cen MT" w:hAnsi="Tw Cen MT"/>
          <w:sz w:val="18"/>
          <w:szCs w:val="18"/>
        </w:rPr>
      </w:pPr>
      <w:r w:rsidRPr="00706C1E">
        <w:rPr>
          <w:rFonts w:ascii="Tw Cen MT" w:hAnsi="Tw Cen MT"/>
          <w:sz w:val="18"/>
          <w:szCs w:val="18"/>
        </w:rPr>
        <w:t>Szondy Z, Mastroberardino PG, Varadi J, Farrace MG, Nagy N, Bak I</w:t>
      </w:r>
      <w:r w:rsidRPr="00706C1E">
        <w:rPr>
          <w:rFonts w:ascii="Tw Cen MT" w:hAnsi="Tw Cen MT"/>
          <w:i/>
          <w:sz w:val="18"/>
          <w:szCs w:val="18"/>
        </w:rPr>
        <w:t xml:space="preserve"> et al.</w:t>
      </w:r>
      <w:r w:rsidRPr="00706C1E">
        <w:rPr>
          <w:rFonts w:ascii="Tw Cen MT" w:hAnsi="Tw Cen MT"/>
          <w:sz w:val="18"/>
          <w:szCs w:val="18"/>
        </w:rPr>
        <w:t xml:space="preserve"> Tissue transglutaminase (TG2) protects cardiomyocytes against ischemia/reperfusion injury by regulating ATP synthesis. </w:t>
      </w:r>
      <w:r w:rsidRPr="00706C1E">
        <w:rPr>
          <w:rFonts w:ascii="Tw Cen MT" w:hAnsi="Tw Cen MT"/>
          <w:i/>
          <w:sz w:val="18"/>
          <w:szCs w:val="18"/>
        </w:rPr>
        <w:t xml:space="preserve">Cell Death Differ </w:t>
      </w:r>
      <w:r w:rsidRPr="00706C1E">
        <w:rPr>
          <w:rFonts w:ascii="Tw Cen MT" w:hAnsi="Tw Cen MT"/>
          <w:sz w:val="18"/>
          <w:szCs w:val="18"/>
        </w:rPr>
        <w:t xml:space="preserve">2006; </w:t>
      </w:r>
      <w:r w:rsidRPr="00706C1E">
        <w:rPr>
          <w:rFonts w:ascii="Tw Cen MT" w:hAnsi="Tw Cen MT"/>
          <w:b/>
          <w:sz w:val="18"/>
          <w:szCs w:val="18"/>
        </w:rPr>
        <w:t>13</w:t>
      </w:r>
      <w:r w:rsidRPr="00706C1E">
        <w:rPr>
          <w:rFonts w:ascii="Tw Cen MT" w:hAnsi="Tw Cen MT"/>
          <w:sz w:val="18"/>
          <w:szCs w:val="18"/>
        </w:rPr>
        <w:t>(10)</w:t>
      </w:r>
      <w:r w:rsidRPr="00706C1E">
        <w:rPr>
          <w:rFonts w:ascii="Tw Cen MT" w:hAnsi="Tw Cen MT"/>
          <w:b/>
          <w:sz w:val="18"/>
          <w:szCs w:val="18"/>
        </w:rPr>
        <w:t xml:space="preserve">: </w:t>
      </w:r>
      <w:r w:rsidRPr="00706C1E">
        <w:rPr>
          <w:rFonts w:ascii="Tw Cen MT" w:hAnsi="Tw Cen MT"/>
          <w:sz w:val="18"/>
          <w:szCs w:val="18"/>
        </w:rPr>
        <w:t>1827-9.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706C1E" w:rsidRDefault="00D62425">
      <w:pPr>
        <w:pStyle w:val="BodyText"/>
        <w:rPr>
          <w:rFonts w:ascii="Calibri"/>
          <w:sz w:val="20"/>
        </w:rPr>
      </w:pPr>
      <w:r>
        <w:rPr>
          <w:rFonts w:ascii="Calibri"/>
          <w:sz w:val="20"/>
        </w:rPr>
        <w:lastRenderedPageBreak/>
        <w:t xml:space="preserve">               </w:t>
      </w:r>
    </w:p>
    <w:p w:rsidR="00706C1E" w:rsidRDefault="00706C1E">
      <w:pPr>
        <w:pStyle w:val="BodyText"/>
        <w:spacing w:line="40" w:lineRule="exact"/>
        <w:ind w:left="2202"/>
        <w:rPr>
          <w:rFonts w:ascii="Calibri"/>
          <w:sz w:val="4"/>
        </w:rPr>
      </w:pPr>
    </w:p>
    <w:p w:rsidR="00706C1E" w:rsidRDefault="00706C1E">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8D86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DE0B0B" w:rsidRDefault="00DE0B0B" w:rsidP="00DE0B0B">
      <w:pPr>
        <w:spacing w:before="41" w:line="154" w:lineRule="exact"/>
        <w:ind w:left="213" w:right="231"/>
        <w:jc w:val="both"/>
        <w:rPr>
          <w:rFonts w:ascii="Arial"/>
          <w:sz w:val="14"/>
        </w:rPr>
      </w:pPr>
    </w:p>
    <w:p w:rsidR="00DE0B0B" w:rsidRDefault="00A9710C" w:rsidP="00DE0B0B">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B21D58">
        <w:rPr>
          <w:rFonts w:ascii="Arial"/>
          <w:sz w:val="14"/>
        </w:rPr>
        <w:t xml:space="preserve"> Zhang is a Cardiovascular Physiologist evaluating cardiac metabolism in health and diseased hearts. She</w:t>
      </w:r>
      <w:r w:rsidR="00DE0B0B">
        <w:rPr>
          <w:rFonts w:ascii="Arial"/>
          <w:sz w:val="14"/>
        </w:rPr>
        <w:t xml:space="preserve"> has been working on nitric oxide and redox-regulation of myocardial contractility and cellular mechanisms. She</w:t>
      </w:r>
      <w:bookmarkStart w:id="0" w:name="_GoBack"/>
      <w:bookmarkEnd w:id="0"/>
      <w:r w:rsidR="00B21D58">
        <w:rPr>
          <w:rFonts w:ascii="Arial"/>
          <w:sz w:val="14"/>
        </w:rPr>
        <w:t xml:space="preserve"> is </w:t>
      </w:r>
      <w:r w:rsidR="00DE0B0B">
        <w:rPr>
          <w:rFonts w:ascii="Arial"/>
          <w:sz w:val="14"/>
        </w:rPr>
        <w:t xml:space="preserve">now focusing on obesity and hypertension and cardiovascular remodeling. </w:t>
      </w:r>
    </w:p>
    <w:p w:rsidR="00DE0B0B" w:rsidRDefault="00DE0B0B" w:rsidP="00DE0B0B">
      <w:pPr>
        <w:spacing w:before="41" w:line="154" w:lineRule="exact"/>
        <w:ind w:left="213" w:right="231"/>
        <w:jc w:val="both"/>
        <w:rPr>
          <w:rFonts w:ascii="Arial"/>
          <w:sz w:val="14"/>
        </w:rPr>
      </w:pPr>
    </w:p>
    <w:p w:rsidR="00AE3E37" w:rsidRDefault="00A9710C" w:rsidP="00DE0B0B">
      <w:pPr>
        <w:spacing w:before="41" w:line="154" w:lineRule="exact"/>
        <w:ind w:left="213" w:right="231"/>
        <w:jc w:val="both"/>
        <w:rPr>
          <w:rFonts w:ascii="Arial"/>
          <w:sz w:val="19"/>
        </w:rPr>
      </w:pPr>
      <w:r>
        <w:rPr>
          <w:rFonts w:ascii="Arial"/>
          <w:sz w:val="14"/>
        </w:rPr>
        <w:t xml:space="preserve">Email: </w:t>
      </w:r>
      <w:hyperlink r:id="rId9" w:history="1">
        <w:r w:rsidR="00CA7322" w:rsidRPr="00016033">
          <w:rPr>
            <w:rStyle w:val="Hyperlink"/>
            <w:rFonts w:ascii="Arial"/>
            <w:sz w:val="14"/>
          </w:rPr>
          <w:t>yinzhang87@gmail.com</w:t>
        </w:r>
      </w:hyperlink>
      <w:r w:rsidR="00CA7322">
        <w:rPr>
          <w:rFonts w:ascii="Arial"/>
          <w:sz w:val="14"/>
        </w:rPr>
        <w:t xml:space="preserve"> </w:t>
      </w:r>
      <w:r w:rsidR="00292ED9">
        <w:rPr>
          <w:noProof/>
          <w:lang w:eastAsia="ko-KR"/>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513BE"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CA7322">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68D" w:rsidRDefault="0069568D">
      <w:r>
        <w:separator/>
      </w:r>
    </w:p>
  </w:endnote>
  <w:endnote w:type="continuationSeparator" w:id="0">
    <w:p w:rsidR="0069568D" w:rsidRDefault="0069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68D" w:rsidRDefault="0069568D">
      <w:r>
        <w:separator/>
      </w:r>
    </w:p>
  </w:footnote>
  <w:footnote w:type="continuationSeparator" w:id="0">
    <w:p w:rsidR="0069568D" w:rsidRDefault="00695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76A0B"/>
    <w:multiLevelType w:val="hybridMultilevel"/>
    <w:tmpl w:val="65ECA340"/>
    <w:lvl w:ilvl="0" w:tplc="D4B0062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688C"/>
    <w:rsid w:val="000E2911"/>
    <w:rsid w:val="001263DF"/>
    <w:rsid w:val="001E763C"/>
    <w:rsid w:val="00292ED9"/>
    <w:rsid w:val="00314AFB"/>
    <w:rsid w:val="003B76D9"/>
    <w:rsid w:val="00404E5B"/>
    <w:rsid w:val="00414F7B"/>
    <w:rsid w:val="004355DC"/>
    <w:rsid w:val="00455720"/>
    <w:rsid w:val="004749B4"/>
    <w:rsid w:val="00494130"/>
    <w:rsid w:val="004F3523"/>
    <w:rsid w:val="005973B9"/>
    <w:rsid w:val="005B3A56"/>
    <w:rsid w:val="006060CE"/>
    <w:rsid w:val="0063497F"/>
    <w:rsid w:val="0069568D"/>
    <w:rsid w:val="00706C1E"/>
    <w:rsid w:val="0078738A"/>
    <w:rsid w:val="00873DF0"/>
    <w:rsid w:val="008756E6"/>
    <w:rsid w:val="00884B86"/>
    <w:rsid w:val="009B2D44"/>
    <w:rsid w:val="00A07E82"/>
    <w:rsid w:val="00A9710C"/>
    <w:rsid w:val="00AE3E37"/>
    <w:rsid w:val="00B21A57"/>
    <w:rsid w:val="00B21D58"/>
    <w:rsid w:val="00C33602"/>
    <w:rsid w:val="00CA7322"/>
    <w:rsid w:val="00CD6F55"/>
    <w:rsid w:val="00D62425"/>
    <w:rsid w:val="00DE0B0B"/>
    <w:rsid w:val="00DE3104"/>
    <w:rsid w:val="00F5298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8BCACF-5A31-463E-825A-3A51CE7E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CA7322"/>
    <w:pPr>
      <w:widowControl/>
    </w:pPr>
    <w:rPr>
      <w:rFonts w:ascii="Times New Roman" w:eastAsia="SimSun" w:hAnsi="Times New Roman" w:cs="Times New Roman"/>
      <w:noProof/>
      <w:sz w:val="24"/>
      <w:szCs w:val="24"/>
      <w:lang w:eastAsia="zh-CN"/>
    </w:rPr>
  </w:style>
  <w:style w:type="character" w:customStyle="1" w:styleId="EndNoteBibliographyChar">
    <w:name w:val="EndNote Bibliography Char"/>
    <w:link w:val="EndNoteBibliography"/>
    <w:rsid w:val="00CA7322"/>
    <w:rPr>
      <w:rFonts w:ascii="Times New Roman" w:eastAsia="SimSun" w:hAnsi="Times New Roman" w:cs="Times New Roman"/>
      <w:noProo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inzhang87@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Zhang</cp:lastModifiedBy>
  <cp:revision>2</cp:revision>
  <dcterms:created xsi:type="dcterms:W3CDTF">2019-01-09T13:44:00Z</dcterms:created>
  <dcterms:modified xsi:type="dcterms:W3CDTF">2019-01-09T13:44:00Z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