
<file path=[Content_Types].xml><?xml version="1.0" encoding="utf-8"?>
<Types xmlns="http://schemas.openxmlformats.org/package/2006/content-types">
  <Default Extension="bin" ContentType="application/vnd.openxmlformats-officedocument.oleObject"/>
  <Default Extension="xlsx" ContentType="application/vnd.openxmlformats-officedocument.spreadsheetml.shee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word/stylesWithEffects.xml" ContentType="application/vnd.ms-word.stylesWithEffects+xml"/>
  <Override PartName="/word/charts/chart1.xml" ContentType="application/vnd.openxmlformats-officedocument.drawingml.chart+xml"/>
  <Override PartName="/word/charts/chart2.xml" ContentType="application/vnd.openxmlformats-officedocument.drawingml.chart+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CB769B" w:rsidRDefault="00CB769B" w:rsidP="009730ED">
      <w:pPr>
        <w:jc w:val="center"/>
        <w:rPr>
          <w:bCs/>
          <w:b/>
          <w:sz w:val="28"/>
          <w:szCs w:val="36"/>
        </w:rPr>
      </w:pPr>
      <w:r>
        <w:rPr>
          <w:b/>
          <w:sz w:val="28"/>
        </w:rPr>
        <w:t>Prevalence of Drug Eluting Stent Restenosis and Its Correlation with Culprit Coronary Artery</w:t>
      </w:r>
    </w:p>
    <w:p>
      <w:pPr>
        <w:jc w:val="both"/>
      </w:pPr>
      <w:r>
        <w:rPr>
          <w:b/>
          <w:sz w:val="28"/>
        </w:rPr>
        <w:t>Dr.Anthony Matta, MD</w:t>
      </w:r>
    </w:p>
    <w:p>
      <w:pPr>
        <w:jc w:val="both"/>
      </w:pPr>
      <w:r>
        <w:t>Faculty of medicine, Holy Spirit University of Kaslik, Kaslik, Lebanon</w:t>
      </w:r>
    </w:p>
    <w:p>
      <w:pPr>
        <w:jc w:val="both"/>
      </w:pPr>
      <w:r>
        <w:t>Department of cardiology, CHU-Rangueil, Toulouse, France</w:t>
      </w:r>
    </w:p>
    <w:p>
      <w:pPr>
        <w:jc w:val="both"/>
        <w:rPr>
          <w:b/>
          <w:sz w:val="28"/>
        </w:rPr>
      </w:pPr>
      <w:r>
        <w:rPr>
          <w:b/>
          <w:sz w:val="28"/>
        </w:rPr>
        <w:t xml:space="preserve">Dr.Nicolas Moussallem, MD      </w:t>
      </w:r>
    </w:p>
    <w:p>
      <w:pPr>
        <w:jc w:val="both"/>
        <w:rPr>
          <w:b w:val="0"/>
          <w:sz w:val="22"/>
        </w:rPr>
      </w:pPr>
      <w:r>
        <w:rPr>
          <w:b w:val="0"/>
          <w:sz w:val="22"/>
        </w:rPr>
        <w:t>Faculty of medicine, Holy Spirit University of kaslik</w:t>
      </w:r>
    </w:p>
    <w:p>
      <w:pPr>
        <w:jc w:val="both"/>
        <w:rPr>
          <w:b w:val="0"/>
        </w:rPr>
      </w:pPr>
      <w:r>
        <w:rPr>
          <w:b w:val="0"/>
          <w:sz w:val="22"/>
        </w:rPr>
        <w:t>Department of cardiology, CHU-NDS, Jbeil, Liban</w:t>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rPr>
          <w:b/>
          <w:sz w:val="28"/>
        </w:rPr>
      </w:pPr>
      <w:r>
        <w:rPr>
          <w:b/>
          <w:sz w:val="28"/>
        </w:rPr>
        <w:t>Abstract</w:t>
      </w:r>
    </w:p>
    <w:p>
      <w:pPr>
        <w:jc w:val="both"/>
      </w:pPr>
      <w:r>
        <w:rPr>
          <w:sz w:val="28"/>
        </w:rPr>
      </w:r>
    </w:p>
    <w:p>
      <w:pPr>
        <w:jc w:val="both"/>
        <w:rPr>
          <w:sz w:val="28"/>
        </w:rPr>
      </w:pPr>
      <w:r>
        <w:rPr>
          <w:b/>
          <w:sz w:val="28"/>
        </w:rPr>
        <w:t>Objective:</w:t>
      </w:r>
      <w:r>
        <w:rPr>
          <w:sz w:val="28"/>
        </w:rPr>
        <w:t xml:space="preserve"> In-Stent Restenosis (ISR) remains a significant problem for the treatment of coronary artery disease (CAD). Our study was conducted to evaluate the prevalence of significant restenosis of drug eluting stent (DES), as to its correlation with the culprit coronary artery. </w:t>
      </w:r>
    </w:p>
    <w:p>
      <w:pPr>
        <w:jc w:val="both"/>
      </w:pPr>
      <w:r>
        <w:rPr>
          <w:sz w:val="28"/>
        </w:rPr>
      </w:r>
    </w:p>
    <w:p>
      <w:pPr>
        <w:jc w:val="both"/>
        <w:rPr>
          <w:sz w:val="28"/>
        </w:rPr>
      </w:pPr>
      <w:r>
        <w:rPr>
          <w:b/>
          <w:sz w:val="28"/>
        </w:rPr>
        <w:t>Materials and methodes:</w:t>
      </w:r>
      <w:r>
        <w:rPr>
          <w:sz w:val="28"/>
        </w:rPr>
        <w:t xml:space="preserve"> A retrospective study was conducted on 924 consecutive patients undergoing percutaneous coronary intervention (PCI) for DES implantation and who were followed-up by cardiac coronarography within 1 year. Cardiac coronarography films were reviewed for the presence or the absence of significant ISR, and for detection of the underlying culprit coronary artery. 2x2 tables and Chi square test were used. P value&lt;0.05 was considered significant. </w:t>
      </w:r>
    </w:p>
    <w:p>
      <w:pPr>
        <w:jc w:val="both"/>
        <w:rPr>
          <w:sz w:val="28"/>
        </w:rPr>
      </w:pPr>
      <w:r>
        <w:rPr>
          <w:b/>
          <w:sz w:val="28"/>
        </w:rPr>
        <w:t xml:space="preserve">Results: </w:t>
      </w:r>
      <w:r>
        <w:rPr>
          <w:sz w:val="28"/>
        </w:rPr>
        <w:t>The revision of cardiac coronarography films of follow-up for 924 included angioplasties showed significant ISR in 165 DES out of the 1494 implanted ones. Statistical analysis estimates the prevalence of DES restenosis at 11%. Taking into consideration the different coronary arteries, it is respectively: 8.79% in Left Anterior Descending (LAD) where ISR was found in 63 stents out of the 654 inserted ones, 11.38% in circumflex (Cx) where ISR was found in 42 stents out of the 327 inserted ones, and 14.7% in right coronary artery (RCA) where ISR was found in 60 stents out of the 342 implanted ones. A negative significant relationship was detected between the prevalence of ISR and LAD coronary artery lesion in opposition to a positive significant relationship between the prevalence of ISR and RCA lesion.</w:t>
      </w:r>
    </w:p>
    <w:p>
      <w:pPr>
        <w:jc w:val="both"/>
        <w:rPr>
          <w:sz w:val="28"/>
        </w:rPr>
      </w:pPr>
      <w:r>
        <w:rPr>
          <w:b/>
          <w:sz w:val="28"/>
        </w:rPr>
        <w:t>Conclusion:</w:t>
      </w:r>
      <w:r>
        <w:rPr>
          <w:sz w:val="28"/>
        </w:rPr>
        <w:t xml:space="preserve">  The prevalence of significant ISR of DES is 11% and it is significantly higher in stents implanted in RCA as compared to stents implanted in Cx and LAD with statistical evidence of significant correlation between the prevalence of ISR and the involved culprit coronary artery.</w:t>
      </w:r>
    </w:p>
    <w:p>
      <w:pPr>
        <w:jc w:val="both"/>
        <w:rPr>
          <w:sz w:val="28"/>
        </w:rPr>
      </w:pPr>
      <w:r>
        <w:rPr>
          <w:sz w:val="28"/>
        </w:rPr>
        <w:t xml:space="preserve">Keywords </w:t>
      </w:r>
      <w:r>
        <w:t>In-Stent Restenosis, Drug Eluting Stent, Coronary Artery Disease, Percutaneous Intervention</w:t>
      </w:r>
    </w:p>
    <w:p>
      <w:pPr>
        <w:jc w:val="both"/>
      </w:pPr>
      <w:r>
        <w:t>1.Bharadwaj B, Chadha G. Drug eluting stents: to evolve or dissolve? Medical Journal Armed Forces India 2016; 72 (4): 367-372.</w:t>
      </w:r>
    </w:p>
    <w:p>
      <w:pPr>
        <w:jc w:val="both"/>
      </w:pPr>
      <w:r>
        <w:t>2.Buccheri D, Piraino D, Andolina G, Cortese B. Understanding and managing in-stent restenosis: a review of clinical data, from pathogenesis to treatment. J Thoracic Dis.2016 Oct; 8(10): E1150- E1162.</w:t>
      </w:r>
    </w:p>
    <w:p>
      <w:pPr>
        <w:jc w:val="both"/>
      </w:pPr>
      <w:r>
        <w:t>3.Goto K, Zhao Z, Matsumura M, et al. Mechanisms and Patterns of Intravascular Ultrasound In-Stent Restenosis Among Bare Metal Stents and First- and Second- Generation Drug-Eluting Stents. Am J Cardiol 2015; 116:1351-7.</w:t>
      </w:r>
    </w:p>
    <w:p>
      <w:pPr>
        <w:jc w:val="both"/>
      </w:pPr>
      <w:r>
        <w:t>4.Alfonso F, Byrne R, Rivero F, Kastrati A. Current treatment of in-stent restenosis. Journal of the American College of Cardiology 2014; 63(24).</w:t>
      </w:r>
    </w:p>
    <w:p>
      <w:pPr>
        <w:jc w:val="both"/>
      </w:pPr>
      <w:r>
        <w:rPr>
          <w:sz w:val="28"/>
        </w:rPr>
      </w:r>
    </w:p>
    <w:p>
      <w:pPr>
        <w:jc w:val="both"/>
      </w:pPr>
      <w:r>
        <w:rPr>
          <w:sz w:val="28"/>
        </w:rPr>
      </w:r>
    </w:p>
    <w:p>
      <w:pPr>
        <w:jc w:val="both"/>
      </w:pPr>
      <w:r>
        <w:rPr>
          <w:sz w:val="28"/>
        </w:rPr>
      </w:r>
    </w:p>
    <w:p>
      <w:pPr>
        <w:jc w:val="both"/>
      </w:pPr>
    </w:p>
    <w:p w:rsidR="004F4A47" w:rsidRDefault="00682116" w:rsidP="00461114">
      <w:pPr>
        <w:jc w:val="both"/>
        <w:rPr>
          <w:bCs/>
          <w:b/>
          <w:sz w:val="28"/>
          <w:szCs w:val="32"/>
        </w:rPr>
      </w:pPr>
    </w:p>
    <w:p w:rsidR="00682116" w:rsidRDefault="00682116" w:rsidP="00682116">
      <w:pPr>
        <w:jc w:val="both"/>
        <w:rPr>
          <w:bCs/>
          <w:b/>
          <w:sz w:val="32"/>
          <w:szCs w:val="32"/>
        </w:rPr>
      </w:pPr>
    </w:p>
    <w:p w:rsidR="00635FD7" w:rsidRDefault="00635FD7" w:rsidP="00682116">
      <w:pPr>
        <w:jc w:val="both"/>
        <w:rPr>
          <w:bCs/>
          <w:b/>
          <w:sz w:val="32"/>
          <w:szCs w:val="32"/>
        </w:rPr>
      </w:pPr>
    </w:p>
    <w:p w:rsidR="00682116" w:rsidRDefault="00682116" w:rsidP="00682116">
      <w:pPr>
        <w:jc w:val="both"/>
        <w:rPr>
          <w:bCs/>
          <w:b/>
          <w:sz w:val="32"/>
          <w:szCs w:val="32"/>
        </w:rPr>
      </w:pP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rsidR="00682116" w:rsidRDefault="00682116" w:rsidP="00682116">
      <w:pPr>
        <w:jc w:val="both"/>
        <w:rPr>
          <w:bCs/>
          <w:b/>
          <w:sz w:val="32"/>
          <w:szCs w:val="32"/>
        </w:rPr>
      </w:pPr>
    </w:p>
    <w:p w:rsidR="00682116" w:rsidRDefault="00682116" w:rsidP="00682116">
      <w:pPr>
        <w:jc w:val="both"/>
        <w:rPr>
          <w:bCs/>
          <w:b/>
          <w:sz w:val="32"/>
          <w:szCs w:val="32"/>
        </w:rPr>
      </w:pPr>
    </w:p>
    <w:p w:rsidR="00682116" w:rsidRDefault="00682116" w:rsidP="00682116" w:rsidRPr="006C0BFC">
      <w:pPr>
        <w:jc w:val="both"/>
        <w:rPr>
          <w:sz w:val="28"/>
          <w:szCs w:val="28"/>
        </w:rPr>
      </w:pPr>
    </w:p>
    <w:p w:rsidR="00682116" w:rsidRDefault="00682116" w:rsidP="00682116" w:rsidRPr="00DA6AB9">
      <w:pPr>
        <w:jc w:val="both"/>
        <w:rPr>
          <w:bCs/>
          <w:lang w:val="fr-FR"/>
          <w:b/>
          <w:sz w:val="28"/>
          <w:szCs w:val="28"/>
        </w:rPr>
      </w:pPr>
    </w:p>
    <w:p w:rsidR="00682116" w:rsidRDefault="00682116" w:rsidP="00ED0E73" w:rsidRPr="00DA6AB9">
      <w:pPr>
        <w:jc w:val="both"/>
        <w:rPr>
          <w:lang w:val="fr-FR"/>
          <w:sz w:val="28"/>
          <w:szCs w:val="28"/>
        </w:rPr>
      </w:pPr>
    </w:p>
    <w:p w:rsidR="005C48B5" w:rsidRDefault="00635FD7"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rsidRPr="00DA6AB9">
      <w:pPr>
        <w:jc w:val="both"/>
        <w:rPr>
          <w:bCs/>
          <w:lang w:val="fr-FR"/>
          <w:b/>
          <w:sz w:val="28"/>
          <w:szCs w:val="28"/>
        </w:rPr>
      </w:pPr>
    </w:p>
    <w:p w:rsidR="006C0BFC" w:rsidRDefault="00635FD7" w:rsidP="006C0BFC">
      <w:pPr>
        <w:jc w:val="both"/>
        <w:rPr>
          <w:bCs/>
          <w:b/>
          <w:sz w:val="32"/>
          <w:szCs w:val="32"/>
        </w:rPr>
      </w:pPr>
    </w:p>
    <w:p w:rsidR="006C0BFC" w:rsidRDefault="00635FD7" w:rsidP="006C0BFC">
      <w:pPr>
        <w:jc w:val="both"/>
        <w:rPr>
          <w:bCs/>
          <w:b/>
          <w:sz w:val="32"/>
          <w:szCs w:val="32"/>
        </w:rPr>
      </w:pPr>
    </w:p>
    <w:p w:rsidR="005C48B5" w:rsidRDefault="00635FD7" w:rsidP="005C48B5">
      <w:pPr>
        <w:jc w:val="both"/>
        <w:rPr>
          <w:sz w:val="28"/>
          <w:szCs w:val="28"/>
        </w:rPr>
      </w:pPr>
    </w:p>
    <w:p w:rsidR="005C48B5" w:rsidRDefault="00635FD7" w:rsidP="005C48B5">
      <w:pPr>
        <w:jc w:val="both"/>
        <w:rPr>
          <w:sz w:val="28"/>
          <w:szCs w:val="28"/>
        </w:rPr>
      </w:pPr>
    </w:p>
    <w:p w:rsidR="00AD3141" w:rsidRDefault="00635FD7" w:rsidP="000F69B4" w:rsidRPr="0032204D">
      <w:pPr>
        <w:jc w:val="both"/>
        <w:rPr>
          <w:sz w:val="28"/>
          <w:szCs w:val="28"/>
        </w:rPr>
      </w:pPr>
      <w:bookmarkStart w:id="0" w:name="_GoBack"/>
      <w:bookmarkEnd w:id="0"/>
    </w:p>
    <w:sectPr w:rsidR="00AD3141" w:rsidRPr="0032204D" w:rsidSect="00F25BFC">
      <w:docGrid w:linePitch="360"/>
      <w:pgSz w:w="12240" w:h="15840"/>
      <w:pgMar w:left="1440" w:right="144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2C737659"/>
    <w:tmpl w:val="103C391C"/>
    <w:lvl w:ilvl="0" w:tplc="3E744D38">
      <w:numFmt w:val="bullet"/>
      <w:lvlText w:val=""/>
      <w:start w:val="0"/>
      <w:rPr>
        <w:rFonts w:ascii="Symbol" w:hAnsi="Symbol"/>
      </w:rPr>
      <w:pPr>
        <w:ind w:left="720"/>
        <w:ind w:hanging="360"/>
      </w:pPr>
      <w:lvlJc w:val="left"/>
    </w:lvl>
    <w:lvl w:ilvl="1" w:tplc="B0842B5A">
      <w:numFmt w:val="bullet"/>
      <w:lvlText w:val="o"/>
      <w:start w:val="0"/>
      <w:rPr>
        <w:rFonts w:ascii="Courier New" w:hAnsi="Courier New"/>
      </w:rPr>
      <w:pPr>
        <w:ind w:left="1440"/>
        <w:ind w:hanging="1080"/>
      </w:pPr>
      <w:lvlJc w:val="left"/>
    </w:lvl>
    <w:lvl w:ilvl="2" w:tplc="85FCACCE">
      <w:numFmt w:val="bullet"/>
      <w:lvlText w:val=""/>
      <w:start w:val="0"/>
      <w:pPr>
        <w:ind w:left="2160"/>
        <w:ind w:hanging="1800"/>
      </w:pPr>
      <w:lvlJc w:val="left"/>
    </w:lvl>
    <w:lvl w:ilvl="3" w:tplc="FAE01244">
      <w:numFmt w:val="bullet"/>
      <w:lvlText w:val=""/>
      <w:start w:val="0"/>
      <w:rPr>
        <w:rFonts w:ascii="Symbol" w:hAnsi="Symbol"/>
      </w:rPr>
      <w:pPr>
        <w:ind w:left="2880"/>
        <w:ind w:hanging="2520"/>
      </w:pPr>
      <w:lvlJc w:val="left"/>
    </w:lvl>
    <w:lvl w:ilvl="4" w:tplc="2C30BCCE">
      <w:numFmt w:val="bullet"/>
      <w:lvlText w:val="o"/>
      <w:start w:val="0"/>
      <w:rPr>
        <w:rFonts w:ascii="Courier New" w:hAnsi="Courier New"/>
      </w:rPr>
      <w:pPr>
        <w:ind w:left="3600"/>
        <w:ind w:hanging="3240"/>
      </w:pPr>
      <w:lvlJc w:val="left"/>
    </w:lvl>
    <w:lvl w:ilvl="5" w:tplc="C5C25FA0">
      <w:numFmt w:val="bullet"/>
      <w:lvlText w:val=""/>
      <w:start w:val="0"/>
      <w:pPr>
        <w:ind w:left="4320"/>
        <w:ind w:hanging="3960"/>
      </w:pPr>
      <w:lvlJc w:val="left"/>
    </w:lvl>
    <w:lvl w:ilvl="6" w:tplc="D034140C">
      <w:numFmt w:val="bullet"/>
      <w:lvlText w:val=""/>
      <w:start w:val="0"/>
      <w:rPr>
        <w:rFonts w:ascii="Symbol" w:hAnsi="Symbol"/>
      </w:rPr>
      <w:pPr>
        <w:ind w:left="5040"/>
        <w:ind w:hanging="4680"/>
      </w:pPr>
      <w:lvlJc w:val="left"/>
    </w:lvl>
    <w:lvl w:ilvl="7" w:tplc="68D42E00">
      <w:numFmt w:val="bullet"/>
      <w:lvlText w:val="o"/>
      <w:start w:val="0"/>
      <w:rPr>
        <w:rFonts w:ascii="Courier New" w:hAnsi="Courier New"/>
      </w:rPr>
      <w:pPr>
        <w:ind w:left="5760"/>
        <w:ind w:hanging="5400"/>
      </w:pPr>
      <w:lvlJc w:val="left"/>
    </w:lvl>
    <w:lvl w:ilvl="8" w:tplc="29DC4D12">
      <w:numFmt w:val="bullet"/>
      <w:lvlText w:val=""/>
      <w:start w:val="0"/>
      <w:pPr>
        <w:ind w:left="6480"/>
        <w:ind w:hanging="6120"/>
      </w:pPr>
      <w:lvlJc w:val="left"/>
    </w:lvl>
  </w:abstractNum>
  <w:abstractNum w:abstractNumId="1">
    <w:multiLevelType w:val="hybridMultilevel"/>
    <w:nsid w:val="7CDD00D2"/>
    <w:tmpl w:val="48AA12AC"/>
    <w:lvl w:ilvl="0" w:tplc="BD10A5EA">
      <w:numFmt w:val="decimal"/>
      <w:lvlText w:val="%1."/>
      <w:start w:val="1"/>
      <w:pPr>
        <w:ind w:left="720"/>
        <w:ind w:hanging="360"/>
      </w:pPr>
      <w:lvlJc w:val="left"/>
    </w:lvl>
    <w:lvl w:ilvl="1" w:tplc="B4FEE670">
      <w:numFmt w:val="decimal"/>
      <w:lvlText w:val="%2."/>
      <w:start w:val="1"/>
      <w:pPr>
        <w:ind w:left="1440"/>
        <w:ind w:hanging="1080"/>
      </w:pPr>
      <w:lvlJc w:val="left"/>
    </w:lvl>
    <w:lvl w:ilvl="2" w:tplc="07A6E638">
      <w:numFmt w:val="decimal"/>
      <w:lvlText w:val="%3."/>
      <w:start w:val="1"/>
      <w:pPr>
        <w:ind w:left="2160"/>
        <w:ind w:hanging="1980"/>
      </w:pPr>
      <w:lvlJc w:val="left"/>
    </w:lvl>
    <w:lvl w:ilvl="3" w:tplc="839693FC">
      <w:numFmt w:val="decimal"/>
      <w:lvlText w:val="%4."/>
      <w:start w:val="1"/>
      <w:pPr>
        <w:ind w:left="2880"/>
        <w:ind w:hanging="2520"/>
      </w:pPr>
      <w:lvlJc w:val="left"/>
    </w:lvl>
    <w:lvl w:ilvl="4" w:tplc="B1DAA1AA">
      <w:numFmt w:val="decimal"/>
      <w:lvlText w:val="%5."/>
      <w:start w:val="1"/>
      <w:pPr>
        <w:ind w:left="3600"/>
        <w:ind w:hanging="3240"/>
      </w:pPr>
      <w:lvlJc w:val="left"/>
    </w:lvl>
    <w:lvl w:ilvl="5" w:tplc="84DEC3EA">
      <w:numFmt w:val="decimal"/>
      <w:lvlText w:val="%6."/>
      <w:start w:val="1"/>
      <w:pPr>
        <w:ind w:left="4320"/>
        <w:ind w:hanging="4140"/>
      </w:pPr>
      <w:lvlJc w:val="left"/>
    </w:lvl>
    <w:lvl w:ilvl="6" w:tplc="7CD47310">
      <w:numFmt w:val="decimal"/>
      <w:lvlText w:val="%7."/>
      <w:start w:val="1"/>
      <w:pPr>
        <w:ind w:left="5040"/>
        <w:ind w:hanging="4680"/>
      </w:pPr>
      <w:lvlJc w:val="left"/>
    </w:lvl>
    <w:lvl w:ilvl="7" w:tplc="A3880E54">
      <w:numFmt w:val="decimal"/>
      <w:lvlText w:val="%8."/>
      <w:start w:val="1"/>
      <w:pPr>
        <w:ind w:left="5760"/>
        <w:ind w:hanging="5400"/>
      </w:pPr>
      <w:lvlJc w:val="left"/>
    </w:lvl>
    <w:lvl w:ilvl="8" w:tplc="236EB5B4">
      <w:numFmt w:val="decimal"/>
      <w:lvlText w:val="%9."/>
      <w:start w:val="1"/>
      <w:pPr>
        <w:ind w:left="6480"/>
        <w:ind w:hanging="6300"/>
      </w:pPr>
      <w:lvlJc w:val="left"/>
    </w:lvl>
  </w:abstractNum>
  <w:num w:numId="1">
    <w:abstractNumId w:val="0"/>
  </w:num>
  <w:num w:numId="2">
    <w:abstractNumId w:val="1"/>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80"/>
  <w:proofState w:spelling="clean" w:grammar="clean"/>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rsids>
    <w:rsidRoot val=""/>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FC"/>
  </w:style>
  <w:style w:type="paragraph" w:styleId="Heading1">
    <w:name w:val="heading 1"/>
    <w:basedOn w:val="Normal"/>
    <w:rsid w:val="009C306F"/>
    <w:pPr>
      <w:spacing w:before="480"/>
      <w:outlineLvl w:val="0"/>
    </w:pPr>
    <w:rPr>
      <w:b/>
      <w:color w:val="345A8A"/>
      <w:sz w:val="32"/>
    </w:rPr>
  </w:style>
  <w:style w:type="paragraph" w:styleId="Heading2">
    <w:name w:val="heading 2"/>
    <w:basedOn w:val="Normal"/>
    <w:rsid w:val="009C306F"/>
    <w:pPr>
      <w:spacing w:before="200"/>
      <w:outlineLvl w:val="1"/>
    </w:pPr>
    <w:rPr>
      <w:b/>
      <w:color w:val="4F81BD"/>
      <w:sz w:val="26"/>
    </w:rPr>
  </w:style>
  <w:style w:type="paragraph" w:styleId="Heading3">
    <w:name w:val="heading 3"/>
    <w:basedOn w:val="Normal"/>
    <w:rsid w:val="009C306F"/>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A5E"/>
    <w:rPr>
      <w:rFonts w:ascii="Tahoma" w:hAnsi="Tahoma" w:cs="Tahoma"/>
      <w:sz w:val="16"/>
      <w:szCs w:val="16"/>
    </w:rPr>
  </w:style>
  <w:style w:type="table" w:styleId="TableGrid">
    <w:name w:val="Table Grid"/>
    <w:basedOn w:val="TableNormal"/>
    <w:uiPriority w:val="59"/>
    <w:rsid w:val="006C23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56A2B"/>
    <w:rPr>
      <w:color w:val="0000FF"/>
      <w:u w:val="single"/>
    </w:rPr>
  </w:style>
  <w:style w:type="paragraph" w:styleId="Title">
    <w:name w:val="Title"/>
    <w:basedOn w:val="Normal"/>
    <w:rsid w:val="009C306F"/>
    <w:pPr>
      <w:spacing w:after="300"/>
    </w:pPr>
    <w:rPr>
      <w:color w:val="17365D"/>
      <w:sz w:val="52"/>
    </w:rPr>
  </w:style>
  <w:style w:type="paragraph" w:styleId="Subtitle">
    <w:name w:val="Subtitle"/>
    <w:basedOn w:val="Normal"/>
    <w:rsid w:val="009C306F"/>
    <w:rPr>
      <w:i/>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Valvular heart surgery </c:v>
                </c:pt>
              </c:strCache>
            </c:strRef>
          </c:tx>
          <c:invertIfNegative val="0"/>
          <c:cat>
            <c:strRef>
              <c:f>Sheet1!$A$2:$A$4</c:f>
              <c:strCache>
                <c:ptCount val="3"/>
                <c:pt idx="0">
                  <c:v>Aortic valve replacement</c:v>
                </c:pt>
                <c:pt idx="1">
                  <c:v>Mitral valve replacement </c:v>
                </c:pt>
                <c:pt idx="2">
                  <c:v>Combined aorto-mitral replacement</c:v>
                </c:pt>
              </c:strCache>
            </c:strRef>
          </c:cat>
          <c:val>
            <c:numRef>
              <c:f>Sheet1!$B$2:$B$4</c:f>
              <c:numCache>
                <c:formatCode>0.00%</c:formatCode>
                <c:ptCount val="3"/>
                <c:pt idx="0">
                  <c:v>0.76600000000000112</c:v>
                </c:pt>
                <c:pt idx="1">
                  <c:v>0.18350000000000025</c:v>
                </c:pt>
                <c:pt idx="2" formatCode="0%">
                  <c:v>5.0000000000000044E-2</c:v>
                </c:pt>
              </c:numCache>
            </c:numRef>
          </c:val>
        </c:ser>
        <c:dLbls>
          <c:showLegendKey val="0"/>
          <c:showVal val="0"/>
          <c:showCatName val="0"/>
          <c:showSerName val="0"/>
          <c:showPercent val="0"/>
          <c:showBubbleSize val="0"/>
        </c:dLbls>
        <c:gapWidth val="150"/>
        <c:axId val="82838528"/>
        <c:axId val="199058560"/>
      </c:barChart>
      <c:catAx>
        <c:axId val="82838528"/>
        <c:scaling>
          <c:orientation val="minMax"/>
        </c:scaling>
        <c:delete val="0"/>
        <c:axPos val="b"/>
        <c:majorTickMark val="out"/>
        <c:minorTickMark val="none"/>
        <c:tickLblPos val="nextTo"/>
        <c:crossAx val="199058560"/>
        <c:crosses val="autoZero"/>
        <c:auto val="1"/>
        <c:lblAlgn val="ctr"/>
        <c:lblOffset val="100"/>
        <c:noMultiLvlLbl val="0"/>
      </c:catAx>
      <c:valAx>
        <c:axId val="199058560"/>
        <c:scaling>
          <c:orientation val="minMax"/>
        </c:scaling>
        <c:delete val="0"/>
        <c:axPos val="l"/>
        <c:majorGridlines/>
        <c:numFmt formatCode="0.00%" sourceLinked="1"/>
        <c:majorTickMark val="out"/>
        <c:minorTickMark val="none"/>
        <c:tickLblPos val="nextTo"/>
        <c:crossAx val="8283852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Severe stenosis</c:v>
                </c:pt>
              </c:strCache>
            </c:strRef>
          </c:tx>
          <c:spPr>
            <a:ln>
              <a:solidFill>
                <a:schemeClr val="accent1"/>
              </a:solidFill>
            </a:ln>
          </c:spPr>
          <c:invertIfNegative val="0"/>
          <c:cat>
            <c:strRef>
              <c:f>Sheet1!$A$2:$A$3</c:f>
              <c:strCache>
                <c:ptCount val="2"/>
                <c:pt idx="0">
                  <c:v>Aortic valve disease</c:v>
                </c:pt>
                <c:pt idx="1">
                  <c:v>Mitral valve disease</c:v>
                </c:pt>
              </c:strCache>
            </c:strRef>
          </c:cat>
          <c:val>
            <c:numRef>
              <c:f>Sheet1!$B$2:$B$3</c:f>
              <c:numCache>
                <c:formatCode>0.00%</c:formatCode>
                <c:ptCount val="2"/>
                <c:pt idx="0" formatCode="0%">
                  <c:v>0.61000000000000065</c:v>
                </c:pt>
                <c:pt idx="1">
                  <c:v>0.48750000000000032</c:v>
                </c:pt>
              </c:numCache>
            </c:numRef>
          </c:val>
        </c:ser>
        <c:ser>
          <c:idx val="1"/>
          <c:order val="1"/>
          <c:tx>
            <c:strRef>
              <c:f>Sheet1!$C$1</c:f>
              <c:strCache>
                <c:ptCount val="1"/>
                <c:pt idx="0">
                  <c:v>Severe regurgitation</c:v>
                </c:pt>
              </c:strCache>
            </c:strRef>
          </c:tx>
          <c:invertIfNegative val="0"/>
          <c:cat>
            <c:strRef>
              <c:f>Sheet1!$A$2:$A$3</c:f>
              <c:strCache>
                <c:ptCount val="2"/>
                <c:pt idx="0">
                  <c:v>Aortic valve disease</c:v>
                </c:pt>
                <c:pt idx="1">
                  <c:v>Mitral valve disease</c:v>
                </c:pt>
              </c:strCache>
            </c:strRef>
          </c:cat>
          <c:val>
            <c:numRef>
              <c:f>Sheet1!$C$2:$C$3</c:f>
              <c:numCache>
                <c:formatCode>0.00%</c:formatCode>
                <c:ptCount val="2"/>
                <c:pt idx="0" formatCode="0%">
                  <c:v>0.39000000000000057</c:v>
                </c:pt>
                <c:pt idx="1">
                  <c:v>0.51249999999999996</c:v>
                </c:pt>
              </c:numCache>
            </c:numRef>
          </c:val>
        </c:ser>
        <c:dLbls>
          <c:showLegendKey val="0"/>
          <c:showVal val="0"/>
          <c:showCatName val="0"/>
          <c:showSerName val="0"/>
          <c:showPercent val="0"/>
          <c:showBubbleSize val="0"/>
        </c:dLbls>
        <c:gapWidth val="150"/>
        <c:axId val="157303808"/>
        <c:axId val="199060288"/>
      </c:barChart>
      <c:catAx>
        <c:axId val="157303808"/>
        <c:scaling>
          <c:orientation val="minMax"/>
        </c:scaling>
        <c:delete val="0"/>
        <c:axPos val="b"/>
        <c:majorTickMark val="out"/>
        <c:minorTickMark val="none"/>
        <c:tickLblPos val="nextTo"/>
        <c:crossAx val="199060288"/>
        <c:crosses val="autoZero"/>
        <c:auto val="1"/>
        <c:lblAlgn val="ctr"/>
        <c:lblOffset val="100"/>
        <c:noMultiLvlLbl val="0"/>
      </c:catAx>
      <c:valAx>
        <c:axId val="199060288"/>
        <c:scaling>
          <c:orientation val="minMax"/>
        </c:scaling>
        <c:delete val="0"/>
        <c:axPos val="l"/>
        <c:majorGridlines/>
        <c:numFmt formatCode="0%" sourceLinked="1"/>
        <c:majorTickMark val="out"/>
        <c:minorTickMark val="none"/>
        <c:tickLblPos val="nextTo"/>
        <c:crossAx val="1573038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2019-02-13T00:36:00Z</dcterms:created>
  <dcterms:modified xsi:type="dcterms:W3CDTF">2019-02-13T00:36:00Z</dcterms:modified>
</cp:coreProperties>
</file>