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5A17F3" w:rsidRDefault="005A17F3" w:rsidP="00494130">
      <w:pPr>
        <w:pStyle w:val="Heading1"/>
        <w:spacing w:before="170"/>
        <w:ind w:left="0"/>
        <w:rPr>
          <w:color w:val="4F81BD" w:themeColor="accent1"/>
        </w:rPr>
      </w:pPr>
      <w:r w:rsidRPr="005A17F3">
        <w:rPr>
          <w:rFonts w:ascii="Times New Roman" w:hAnsi="Times New Roman" w:cs="Times New Roman"/>
          <w:color w:val="4F81BD" w:themeColor="accent1"/>
        </w:rPr>
        <w:t>Anemia in acute coronary syndrome: A cross-sectional study</w:t>
      </w:r>
    </w:p>
    <w:p w:rsidR="0078738A" w:rsidRDefault="005A17F3" w:rsidP="005973B9">
      <w:pPr>
        <w:pStyle w:val="BodyText"/>
        <w:spacing w:before="73" w:line="198" w:lineRule="exact"/>
        <w:ind w:left="100" w:right="5987"/>
        <w:rPr>
          <w:rFonts w:ascii="Arial"/>
        </w:rPr>
      </w:pPr>
      <w:r>
        <w:rPr>
          <w:rFonts w:ascii="Arial"/>
        </w:rPr>
        <w:t>Hamza Maqsood, Nishtar Medical University</w:t>
      </w:r>
      <w:r w:rsidR="005973B9">
        <w:rPr>
          <w:rFonts w:ascii="Arial"/>
        </w:rPr>
        <w:t>,</w:t>
      </w:r>
      <w:r>
        <w:rPr>
          <w:rFonts w:ascii="Arial"/>
        </w:rPr>
        <w:t xml:space="preserve"> Multan, Pakistan </w:t>
      </w:r>
      <w:r w:rsidR="005973B9">
        <w:rPr>
          <w:rFonts w:ascii="Arial"/>
        </w:rPr>
        <w:t xml:space="preserve"> </w:t>
      </w:r>
    </w:p>
    <w:p w:rsidR="005973B9" w:rsidRDefault="005A17F3" w:rsidP="005973B9">
      <w:pPr>
        <w:pStyle w:val="BodyText"/>
        <w:spacing w:before="73" w:line="198" w:lineRule="exact"/>
        <w:ind w:left="100" w:right="5987"/>
        <w:rPr>
          <w:rFonts w:ascii="Arial"/>
        </w:rPr>
      </w:pPr>
      <w:r>
        <w:rPr>
          <w:rFonts w:ascii="Arial"/>
        </w:rPr>
        <w:t>Muhammad Dilawaer Khan</w:t>
      </w:r>
      <w:r w:rsidR="005973B9">
        <w:rPr>
          <w:rFonts w:ascii="Arial"/>
        </w:rPr>
        <w:t xml:space="preserve">, </w:t>
      </w:r>
      <w:r w:rsidRPr="005A17F3">
        <w:rPr>
          <w:rFonts w:ascii="Arial"/>
        </w:rPr>
        <w:t xml:space="preserve">Nishtar Medical University, Multan, Pakistan  </w:t>
      </w:r>
    </w:p>
    <w:p w:rsidR="005A17F3" w:rsidRDefault="005A17F3" w:rsidP="005973B9">
      <w:pPr>
        <w:pStyle w:val="BodyText"/>
        <w:spacing w:before="73" w:line="198" w:lineRule="exact"/>
        <w:ind w:left="100" w:right="5987"/>
        <w:rPr>
          <w:rFonts w:ascii="Arial"/>
        </w:rPr>
      </w:pPr>
      <w:r>
        <w:rPr>
          <w:rFonts w:ascii="Arial"/>
        </w:rPr>
        <w:t>Hassan Abdullah Shake</w:t>
      </w:r>
      <w:r w:rsidR="00CA2BCA">
        <w:rPr>
          <w:rFonts w:ascii="Arial"/>
        </w:rPr>
        <w:t>e</w:t>
      </w:r>
      <w:bookmarkStart w:id="0" w:name="_GoBack"/>
      <w:bookmarkEnd w:id="0"/>
      <w:r>
        <w:rPr>
          <w:rFonts w:ascii="Arial"/>
        </w:rPr>
        <w:t xml:space="preserve">l, </w:t>
      </w:r>
      <w:r w:rsidRPr="005A17F3">
        <w:rPr>
          <w:rFonts w:ascii="Arial"/>
        </w:rPr>
        <w:t xml:space="preserve">Nishtar Medical University, Multan, Pakistan  </w:t>
      </w:r>
    </w:p>
    <w:p w:rsidR="005A17F3" w:rsidRDefault="005A17F3" w:rsidP="005973B9">
      <w:pPr>
        <w:pStyle w:val="BodyText"/>
        <w:spacing w:before="73" w:line="198" w:lineRule="exact"/>
        <w:ind w:left="100" w:right="5987"/>
        <w:rPr>
          <w:rFonts w:ascii="Arial"/>
        </w:rPr>
      </w:pPr>
      <w:r>
        <w:rPr>
          <w:rFonts w:ascii="Arial"/>
        </w:rPr>
        <w:t>Jahan tab Qazi,</w:t>
      </w:r>
      <w:r w:rsidRPr="005A17F3">
        <w:t xml:space="preserve"> </w:t>
      </w:r>
      <w:r w:rsidRPr="005A17F3">
        <w:rPr>
          <w:rFonts w:ascii="Arial"/>
        </w:rPr>
        <w:t xml:space="preserve">Nishtar Medical University, Multan, Pakistan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3329EA" w:rsidRDefault="00A9710C" w:rsidP="003329EA">
      <w:pPr>
        <w:pStyle w:val="BodyText"/>
        <w:spacing w:before="90" w:line="280" w:lineRule="auto"/>
        <w:ind w:left="100"/>
        <w:jc w:val="both"/>
      </w:pPr>
      <w:r w:rsidRPr="005A17F3">
        <w:rPr>
          <w:b/>
        </w:rPr>
        <w:t>Statement of the Problem:</w:t>
      </w:r>
      <w:r>
        <w:t xml:space="preserve"> </w:t>
      </w:r>
      <w:r w:rsidR="005A17F3" w:rsidRPr="005A17F3">
        <w:t>Acute coronary syndromes (ACS) are an imbalance between myocardial oxygen supply and</w:t>
      </w:r>
      <w:r w:rsidR="003329EA">
        <w:t xml:space="preserve"> demand, and the presence of an</w:t>
      </w:r>
      <w:r w:rsidR="005A17F3" w:rsidRPr="005A17F3">
        <w:t>emia further potentiates this imbalance. The burd</w:t>
      </w:r>
      <w:r w:rsidR="003329EA">
        <w:t>en of an</w:t>
      </w:r>
      <w:r w:rsidR="005A17F3" w:rsidRPr="005A17F3">
        <w:t>emia in patients presenting with acute coronary syn</w:t>
      </w:r>
      <w:r w:rsidR="003329EA">
        <w:t>dromes (ACS) is significant. An</w:t>
      </w:r>
      <w:r w:rsidR="005A17F3" w:rsidRPr="005A17F3">
        <w:t>emia has the potential to worsen myocardial ischemic insult by decreasing the oxygen content of the blood supplied to the jeopardized myocardium. Our study investig</w:t>
      </w:r>
      <w:r w:rsidR="003329EA">
        <w:t>ates the prevalence of an</w:t>
      </w:r>
      <w:r w:rsidR="005A17F3" w:rsidRPr="005A17F3">
        <w:t>emia in ACS patients attending a tertiary health care institute.</w:t>
      </w:r>
      <w:r w:rsidR="005A17F3">
        <w:t xml:space="preserve"> </w:t>
      </w:r>
      <w:r w:rsidRPr="005A17F3">
        <w:rPr>
          <w:b/>
        </w:rPr>
        <w:t>Methodolog</w:t>
      </w:r>
      <w:r w:rsidR="0078738A" w:rsidRPr="005A17F3">
        <w:rPr>
          <w:b/>
        </w:rPr>
        <w:t>y &amp; Theoretical Orientation:</w:t>
      </w:r>
      <w:r w:rsidR="0078738A">
        <w:t xml:space="preserve"> </w:t>
      </w:r>
      <w:r w:rsidR="005A17F3" w:rsidRPr="005A17F3">
        <w:t>A total of 148 patients with ACS were recruited in the study from July 2018 to October 2018 in Multan institute of cardiology, Pakistan. All patients were subjected to a detailed history and thorough clinical examination and investigations after obtaining informed consent. Patient having any o</w:t>
      </w:r>
      <w:r w:rsidR="003329EA">
        <w:t>ther diseases known to cause an</w:t>
      </w:r>
      <w:r w:rsidR="005A17F3" w:rsidRPr="005A17F3">
        <w:t>emia were excluded.</w:t>
      </w:r>
      <w:r w:rsidR="005A17F3">
        <w:t xml:space="preserve"> </w:t>
      </w:r>
      <w:r w:rsidRPr="005A17F3">
        <w:rPr>
          <w:b/>
        </w:rPr>
        <w:t>Findings:</w:t>
      </w:r>
      <w:r>
        <w:t xml:space="preserve"> </w:t>
      </w:r>
      <w:r w:rsidR="005A17F3" w:rsidRPr="005A17F3">
        <w:t>Mean age of patients was 49 years. Out of 148, 114(77%) were males and 34(23%)</w:t>
      </w:r>
      <w:r w:rsidR="003329EA">
        <w:t xml:space="preserve"> were females. Prevalence of an</w:t>
      </w:r>
      <w:r w:rsidR="005A17F3" w:rsidRPr="005A17F3">
        <w:t>emia was 38% in Male and 58.8% in Female. Among Male, 18.8% were microcytic, 4.54% were macrocytic and 77.27% were normocytic. Among Female, 50% were microcytic and 50%% were normocytic. Prevalence of ACS was higher is patients with diabetes and hypertension combined (31%) than in patient with diabetes alone (17.56%) or hypertension alone (21.62%). 13.51% were pure vegetarians while 78.37% were on mixed diet consisting of vegetables +meat + pulses.</w:t>
      </w:r>
      <w:r w:rsidR="005A17F3">
        <w:t xml:space="preserve"> </w:t>
      </w:r>
      <w:r w:rsidRPr="005A17F3">
        <w:rPr>
          <w:b/>
        </w:rPr>
        <w:t>Conclusion &amp; Significance:</w:t>
      </w:r>
      <w:r w:rsidR="005A17F3" w:rsidRPr="005A17F3">
        <w:t xml:space="preserve"> </w:t>
      </w:r>
      <w:r w:rsidR="003329EA">
        <w:t>Higher incidence of an</w:t>
      </w:r>
      <w:r w:rsidR="005A17F3" w:rsidRPr="005A17F3">
        <w:t>emia was reported in subjects having acute cor</w:t>
      </w:r>
      <w:r w:rsidR="003329EA">
        <w:t>onary syndrome. Incidence of an</w:t>
      </w:r>
      <w:r w:rsidR="005A17F3" w:rsidRPr="005A17F3">
        <w:t>emia in STEMI patients was greater than NSTEMI and unstable angina patients. Severe form of acute coronary syndrome i.e. STEMI was associa</w:t>
      </w:r>
      <w:r w:rsidR="003329EA">
        <w:t>ted with higher incidence of an</w:t>
      </w:r>
      <w:r w:rsidR="005A17F3" w:rsidRPr="005A17F3">
        <w:t>emia</w:t>
      </w:r>
      <w:r w:rsidR="005A17F3" w:rsidRPr="005A17F3">
        <w:rPr>
          <w:b/>
        </w:rPr>
        <w:t>.</w:t>
      </w:r>
      <w:r w:rsidR="003329EA">
        <w:rPr>
          <w:b/>
        </w:rPr>
        <w:t xml:space="preserve"> </w:t>
      </w:r>
      <w:r w:rsidR="003329EA" w:rsidRPr="003329EA">
        <w:t>Our study will</w:t>
      </w:r>
      <w:r w:rsidR="005A17F3" w:rsidRPr="003329EA">
        <w:t xml:space="preserve"> help to understand the </w:t>
      </w:r>
      <w:r w:rsidR="003329EA" w:rsidRPr="003329EA">
        <w:t xml:space="preserve">prevalence </w:t>
      </w:r>
      <w:r w:rsidR="003329EA">
        <w:t>and clinical outcomes of an</w:t>
      </w:r>
      <w:r w:rsidR="003329EA" w:rsidRPr="003329EA">
        <w:t xml:space="preserve">emia in patients with acute coronary syndrome so that evidence </w:t>
      </w:r>
      <w:r w:rsidR="003329EA">
        <w:t>based management of the disease</w:t>
      </w:r>
      <w:r w:rsidR="003329EA" w:rsidRPr="003329EA">
        <w:t xml:space="preserve"> can be done</w:t>
      </w:r>
      <w:r w:rsidR="003329EA">
        <w:t>.</w:t>
      </w:r>
    </w:p>
    <w:p w:rsidR="00AE3E37" w:rsidRPr="003329EA" w:rsidRDefault="00A9710C" w:rsidP="003329EA">
      <w:pPr>
        <w:pStyle w:val="BodyText"/>
        <w:spacing w:before="90" w:line="280" w:lineRule="auto"/>
        <w:ind w:left="100"/>
        <w:jc w:val="both"/>
      </w:pPr>
      <w:r>
        <w:rPr>
          <w:color w:val="BF5A14"/>
        </w:rPr>
        <w:t>Image</w:t>
      </w:r>
      <w:r w:rsidR="003329EA">
        <w:rPr>
          <w:color w:val="BF5A14"/>
        </w:rPr>
        <w:t>: Gender wise distribution of an</w:t>
      </w:r>
      <w:r w:rsidR="003329EA" w:rsidRPr="003329EA">
        <w:rPr>
          <w:color w:val="BF5A14"/>
        </w:rPr>
        <w:t>emia in patients with ACS.</w:t>
      </w:r>
    </w:p>
    <w:p w:rsidR="003329EA" w:rsidRDefault="003329EA">
      <w:pPr>
        <w:pStyle w:val="Heading3"/>
        <w:spacing w:before="74"/>
      </w:pPr>
    </w:p>
    <w:p w:rsidR="00AE3E37" w:rsidRDefault="003329EA">
      <w:pPr>
        <w:pStyle w:val="BodyText"/>
        <w:spacing w:before="2"/>
        <w:rPr>
          <w:rFonts w:ascii="Arial"/>
          <w:b/>
          <w:sz w:val="16"/>
        </w:rPr>
      </w:pPr>
      <w:r>
        <w:rPr>
          <w:noProof/>
        </w:rPr>
        <w:drawing>
          <wp:inline distT="0" distB="0" distL="0" distR="0" wp14:anchorId="5671E37B" wp14:editId="6A30DC11">
            <wp:extent cx="3165475" cy="1846527"/>
            <wp:effectExtent l="0" t="0" r="15875" b="190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329EA" w:rsidRDefault="003329EA">
      <w:pPr>
        <w:pStyle w:val="BodyText"/>
        <w:spacing w:before="2"/>
        <w:rPr>
          <w:rFonts w:ascii="Arial"/>
          <w:b/>
          <w:sz w:val="16"/>
        </w:rPr>
      </w:pPr>
    </w:p>
    <w:p w:rsidR="003329EA" w:rsidRDefault="005973B9" w:rsidP="005973B9">
      <w:pPr>
        <w:spacing w:line="204" w:lineRule="exact"/>
        <w:rPr>
          <w:rFonts w:ascii="Arial"/>
          <w:b/>
          <w:color w:val="BF5A14"/>
          <w:sz w:val="20"/>
        </w:rPr>
      </w:pPr>
      <w:r>
        <w:rPr>
          <w:rFonts w:ascii="Arial"/>
          <w:b/>
          <w:color w:val="BF5A14"/>
          <w:sz w:val="20"/>
        </w:rPr>
        <w:br/>
      </w:r>
    </w:p>
    <w:p w:rsidR="005973B9" w:rsidRDefault="005973B9" w:rsidP="005973B9">
      <w:pPr>
        <w:spacing w:line="204" w:lineRule="exact"/>
        <w:rPr>
          <w:rFonts w:ascii="Arial"/>
          <w:b/>
          <w:color w:val="BF5A14"/>
          <w:sz w:val="20"/>
        </w:rPr>
      </w:pPr>
      <w:r>
        <w:rPr>
          <w:rFonts w:ascii="Arial"/>
          <w:b/>
          <w:color w:val="BF5A14"/>
          <w:sz w:val="20"/>
        </w:rPr>
        <w:t>Recent Publications (minimum 5)</w:t>
      </w:r>
    </w:p>
    <w:p w:rsidR="003329EA" w:rsidRDefault="003329EA" w:rsidP="005973B9">
      <w:pPr>
        <w:spacing w:line="204" w:lineRule="exact"/>
        <w:rPr>
          <w:rFonts w:ascii="Arial"/>
          <w:b/>
          <w:sz w:val="20"/>
        </w:rPr>
      </w:pPr>
    </w:p>
    <w:p w:rsidR="003329EA" w:rsidRDefault="003329EA" w:rsidP="003329EA">
      <w:pPr>
        <w:pStyle w:val="BodyText"/>
        <w:numPr>
          <w:ilvl w:val="0"/>
          <w:numId w:val="4"/>
        </w:numPr>
        <w:rPr>
          <w:rFonts w:ascii="Calibri"/>
          <w:sz w:val="20"/>
        </w:rPr>
      </w:pPr>
      <w:r w:rsidRPr="003329EA">
        <w:rPr>
          <w:rFonts w:ascii="Calibri"/>
          <w:sz w:val="20"/>
        </w:rPr>
        <w:t>Sudarsky D, Sudarsky M, Matezky S, Goldenberg I, Farcas A, Nikolsky E. Impact of early invasive approach on outcomes of patients with acute coronary syndrome and baseline anaemia: analysis from ACSIS registry.  J interv cardiol 2015;</w:t>
      </w:r>
      <w:r>
        <w:rPr>
          <w:rFonts w:ascii="Calibri"/>
          <w:sz w:val="20"/>
        </w:rPr>
        <w:t xml:space="preserve"> </w:t>
      </w:r>
      <w:r w:rsidRPr="003329EA">
        <w:rPr>
          <w:rFonts w:ascii="Calibri"/>
          <w:sz w:val="20"/>
        </w:rPr>
        <w:t>28:315-25.</w:t>
      </w:r>
    </w:p>
    <w:p w:rsidR="003329EA" w:rsidRDefault="003329EA" w:rsidP="003329EA">
      <w:pPr>
        <w:pStyle w:val="BodyText"/>
        <w:numPr>
          <w:ilvl w:val="0"/>
          <w:numId w:val="4"/>
        </w:numPr>
        <w:rPr>
          <w:rFonts w:ascii="Calibri"/>
          <w:sz w:val="20"/>
        </w:rPr>
      </w:pPr>
      <w:r w:rsidRPr="003329EA">
        <w:rPr>
          <w:rFonts w:ascii="Calibri"/>
          <w:sz w:val="20"/>
        </w:rPr>
        <w:t>Kunadian V, Mehran R, Lincoff AM, Feit F, Manoukian SV, Hamon M, et al. Effect of anaemia on frequency of short- and long-term clinical events in acute coronary syndromes (from the Acute Catheterization and Urgent Intervention Triage Strategy Trial). Am J Cardiol. 2014;</w:t>
      </w:r>
      <w:r>
        <w:rPr>
          <w:rFonts w:ascii="Calibri"/>
          <w:sz w:val="20"/>
        </w:rPr>
        <w:t xml:space="preserve"> </w:t>
      </w:r>
      <w:r w:rsidRPr="003329EA">
        <w:rPr>
          <w:rFonts w:ascii="Calibri"/>
          <w:sz w:val="20"/>
        </w:rPr>
        <w:t>114:1823-9</w:t>
      </w:r>
      <w:r>
        <w:rPr>
          <w:rFonts w:ascii="Calibri"/>
          <w:sz w:val="20"/>
        </w:rPr>
        <w:t>.</w:t>
      </w:r>
    </w:p>
    <w:p w:rsidR="003329EA" w:rsidRDefault="003329EA" w:rsidP="003329EA">
      <w:pPr>
        <w:pStyle w:val="BodyText"/>
        <w:numPr>
          <w:ilvl w:val="0"/>
          <w:numId w:val="4"/>
        </w:numPr>
        <w:rPr>
          <w:rFonts w:ascii="Calibri"/>
          <w:sz w:val="20"/>
        </w:rPr>
      </w:pPr>
      <w:r w:rsidRPr="003329EA">
        <w:rPr>
          <w:rFonts w:ascii="Calibri"/>
          <w:sz w:val="20"/>
        </w:rPr>
        <w:t>Gupta SK, Agarwal SS, Kaushal R, Jain A, Gupta VK, Khare N. Prevalence of Anaemia among rural population living in and around of rural health and training center, Ratua Village of Madhya Pradesh. Muller J Med Sci Res. 2014;</w:t>
      </w:r>
      <w:r>
        <w:rPr>
          <w:rFonts w:ascii="Calibri"/>
          <w:sz w:val="20"/>
        </w:rPr>
        <w:t xml:space="preserve"> </w:t>
      </w:r>
      <w:r w:rsidRPr="003329EA">
        <w:rPr>
          <w:rFonts w:ascii="Calibri"/>
          <w:sz w:val="20"/>
        </w:rPr>
        <w:t>5:15-8.</w:t>
      </w:r>
      <w:r w:rsidR="00D62425">
        <w:rPr>
          <w:rFonts w:ascii="Calibri"/>
          <w:sz w:val="20"/>
        </w:rPr>
        <w:t xml:space="preserve"> </w:t>
      </w:r>
    </w:p>
    <w:p w:rsidR="003329EA" w:rsidRDefault="003329EA" w:rsidP="003329EA">
      <w:pPr>
        <w:pStyle w:val="BodyText"/>
        <w:numPr>
          <w:ilvl w:val="0"/>
          <w:numId w:val="4"/>
        </w:numPr>
        <w:rPr>
          <w:rFonts w:ascii="Calibri"/>
          <w:sz w:val="20"/>
        </w:rPr>
      </w:pPr>
      <w:r w:rsidRPr="003329EA">
        <w:rPr>
          <w:rFonts w:ascii="Calibri"/>
          <w:sz w:val="20"/>
        </w:rPr>
        <w:t>Garg P, Deshpande AH, Dey B, Ojha P. A Study of the Peripheral Smears in a Tertiary Care Teaching Hospital of Andaman &amp; Nicobar Islands. Int J Health Sci Res. 2017;</w:t>
      </w:r>
      <w:r w:rsidR="001A2550">
        <w:rPr>
          <w:rFonts w:ascii="Calibri"/>
          <w:sz w:val="20"/>
        </w:rPr>
        <w:t xml:space="preserve"> </w:t>
      </w:r>
      <w:r w:rsidRPr="003329EA">
        <w:rPr>
          <w:rFonts w:ascii="Calibri"/>
          <w:sz w:val="20"/>
        </w:rPr>
        <w:t>7:22-7.</w:t>
      </w:r>
    </w:p>
    <w:p w:rsidR="003329EA" w:rsidRDefault="003329EA" w:rsidP="003329EA">
      <w:pPr>
        <w:pStyle w:val="BodyText"/>
        <w:numPr>
          <w:ilvl w:val="0"/>
          <w:numId w:val="4"/>
        </w:numPr>
        <w:rPr>
          <w:rFonts w:ascii="Calibri"/>
          <w:sz w:val="20"/>
        </w:rPr>
      </w:pPr>
      <w:r w:rsidRPr="003329EA">
        <w:rPr>
          <w:rFonts w:ascii="Calibri"/>
          <w:sz w:val="20"/>
        </w:rPr>
        <w:t xml:space="preserve">WHO. The global prevalence of anaemia in 2011. Geneva: World Health Organization; 2015. </w:t>
      </w:r>
      <w:r w:rsidR="00D62425">
        <w:rPr>
          <w:rFonts w:ascii="Calibri"/>
          <w:sz w:val="20"/>
        </w:rPr>
        <w:t xml:space="preserve">          </w:t>
      </w:r>
    </w:p>
    <w:p w:rsidR="003329EA" w:rsidRDefault="003329EA" w:rsidP="003329EA">
      <w:pPr>
        <w:pStyle w:val="BodyText"/>
        <w:ind w:left="495"/>
        <w:rPr>
          <w:rFonts w:ascii="Calibri"/>
          <w:sz w:val="20"/>
        </w:rPr>
      </w:pPr>
    </w:p>
    <w:p w:rsidR="00AE3E37" w:rsidRPr="003329EA" w:rsidRDefault="00D62425" w:rsidP="003329EA">
      <w:pPr>
        <w:pStyle w:val="BodyText"/>
        <w:numPr>
          <w:ilvl w:val="0"/>
          <w:numId w:val="4"/>
        </w:numPr>
        <w:rPr>
          <w:rFonts w:ascii="Calibri"/>
          <w:sz w:val="20"/>
        </w:rPr>
      </w:pPr>
      <w:r w:rsidRPr="003329EA">
        <w:rPr>
          <w:rFonts w:ascii="Calibri"/>
          <w:b/>
          <w:sz w:val="20"/>
        </w:rPr>
        <w:lastRenderedPageBreak/>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6C8B9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CA2BCA" w:rsidRDefault="008756E6" w:rsidP="00404E5B">
      <w:pPr>
        <w:spacing w:before="92"/>
        <w:ind w:right="4234"/>
        <w:rPr>
          <w:noProof/>
        </w:rPr>
      </w:pPr>
      <w:r>
        <w:rPr>
          <w:noProof/>
        </w:rPr>
        <w:t xml:space="preserve">              </w:t>
      </w:r>
      <w:r>
        <w:rPr>
          <w:noProof/>
        </w:rPr>
        <w:drawing>
          <wp:inline distT="0" distB="0" distL="0" distR="0" wp14:anchorId="1B650C0E" wp14:editId="0E8C3C7F">
            <wp:extent cx="1181100" cy="1181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181522" cy="1181522"/>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1A2550">
        <w:rPr>
          <w:rFonts w:ascii="Arial"/>
          <w:color w:val="BF5A14"/>
        </w:rPr>
        <w:t xml:space="preserve"> </w:t>
      </w:r>
    </w:p>
    <w:p w:rsidR="00AE3E37" w:rsidRDefault="001A2550">
      <w:pPr>
        <w:spacing w:before="41" w:line="154" w:lineRule="exact"/>
        <w:ind w:left="213" w:right="231"/>
        <w:jc w:val="both"/>
        <w:rPr>
          <w:rFonts w:ascii="Arial"/>
          <w:sz w:val="14"/>
        </w:rPr>
      </w:pPr>
      <w:r>
        <w:rPr>
          <w:rFonts w:ascii="Arial"/>
          <w:sz w:val="14"/>
        </w:rPr>
        <w:t>The author of this article is a medical student at Nishtar Medical University, Multan, Pakistan. He is a USMLE aspirant and have a very keen interest in the field of medical research. The author have already published 7 original research article in an international journal and now is doing work on 4 case reports of both cardiology and neurology. The author is also a member of different medical organizations and societies like European society of Cardiology, American Academy of Cardiology and American college of Physicians. The author also have experience in joining and organizing many medical conferences along with vast volunteer work.</w:t>
      </w:r>
      <w:r w:rsidRPr="001A2550">
        <w:t xml:space="preserve"> </w:t>
      </w:r>
      <w:r>
        <w:rPr>
          <w:rFonts w:ascii="Arial"/>
          <w:sz w:val="14"/>
        </w:rPr>
        <w:t>After graduation, author</w:t>
      </w:r>
      <w:r w:rsidRPr="001A2550">
        <w:rPr>
          <w:rFonts w:ascii="Arial"/>
          <w:sz w:val="14"/>
        </w:rPr>
        <w:t xml:space="preserve"> will apply for a residency program</w:t>
      </w:r>
      <w:r>
        <w:rPr>
          <w:rFonts w:ascii="Arial"/>
          <w:sz w:val="14"/>
        </w:rPr>
        <w:t xml:space="preserve"> in internal medicine and then after completing  </w:t>
      </w:r>
      <w:r w:rsidR="00CA2BCA">
        <w:rPr>
          <w:rFonts w:ascii="Arial"/>
          <w:sz w:val="14"/>
        </w:rPr>
        <w:t xml:space="preserve"> </w:t>
      </w:r>
      <w:r>
        <w:rPr>
          <w:rFonts w:ascii="Arial"/>
          <w:sz w:val="14"/>
        </w:rPr>
        <w:t xml:space="preserve">residency </w:t>
      </w:r>
      <w:r w:rsidRPr="001A2550">
        <w:rPr>
          <w:rFonts w:ascii="Arial"/>
          <w:sz w:val="14"/>
        </w:rPr>
        <w:t xml:space="preserve"> will apply for a Fe</w:t>
      </w:r>
      <w:r>
        <w:rPr>
          <w:rFonts w:ascii="Arial"/>
          <w:sz w:val="14"/>
        </w:rPr>
        <w:t>llowship program in Cardiology.</w:t>
      </w:r>
    </w:p>
    <w:p w:rsidR="00AE3E37" w:rsidRDefault="00A9710C">
      <w:pPr>
        <w:spacing w:before="62"/>
        <w:ind w:left="4217" w:right="4235"/>
        <w:jc w:val="center"/>
        <w:rPr>
          <w:rFonts w:ascii="Arial"/>
          <w:sz w:val="14"/>
        </w:rPr>
      </w:pPr>
      <w:r>
        <w:rPr>
          <w:rFonts w:ascii="Arial"/>
          <w:sz w:val="14"/>
        </w:rPr>
        <w:t xml:space="preserve">Email: </w:t>
      </w:r>
      <w:hyperlink r:id="rId11" w:history="1">
        <w:r w:rsidR="001A2550" w:rsidRPr="00545133">
          <w:rPr>
            <w:rStyle w:val="Hyperlink"/>
            <w:rFonts w:ascii="Arial"/>
            <w:sz w:val="14"/>
          </w:rPr>
          <w:t>hamzamaqsood381@gmail.com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B5491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04D1" w:rsidRDefault="00E304D1">
      <w:r>
        <w:separator/>
      </w:r>
    </w:p>
  </w:endnote>
  <w:endnote w:type="continuationSeparator" w:id="0">
    <w:p w:rsidR="00E304D1" w:rsidRDefault="00E30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04D1" w:rsidRDefault="00E304D1">
      <w:r>
        <w:separator/>
      </w:r>
    </w:p>
  </w:footnote>
  <w:footnote w:type="continuationSeparator" w:id="0">
    <w:p w:rsidR="00E304D1" w:rsidRDefault="00E304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56BA7"/>
    <w:multiLevelType w:val="hybridMultilevel"/>
    <w:tmpl w:val="032859F8"/>
    <w:lvl w:ilvl="0" w:tplc="224E90F8">
      <w:start w:val="1"/>
      <w:numFmt w:val="decimal"/>
      <w:lvlText w:val="%1."/>
      <w:lvlJc w:val="left"/>
      <w:pPr>
        <w:ind w:left="495" w:hanging="36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A2550"/>
    <w:rsid w:val="001E763C"/>
    <w:rsid w:val="00292ED9"/>
    <w:rsid w:val="00314AFB"/>
    <w:rsid w:val="003329EA"/>
    <w:rsid w:val="003B76D9"/>
    <w:rsid w:val="00404E5B"/>
    <w:rsid w:val="00414F7B"/>
    <w:rsid w:val="004355DC"/>
    <w:rsid w:val="004749B4"/>
    <w:rsid w:val="00494130"/>
    <w:rsid w:val="004F3523"/>
    <w:rsid w:val="005973B9"/>
    <w:rsid w:val="005A17F3"/>
    <w:rsid w:val="005B3A56"/>
    <w:rsid w:val="006060CE"/>
    <w:rsid w:val="0063497F"/>
    <w:rsid w:val="0078738A"/>
    <w:rsid w:val="00873DF0"/>
    <w:rsid w:val="008756E6"/>
    <w:rsid w:val="009B2D44"/>
    <w:rsid w:val="00A07E82"/>
    <w:rsid w:val="00A9710C"/>
    <w:rsid w:val="00AE3E37"/>
    <w:rsid w:val="00B21A57"/>
    <w:rsid w:val="00C33602"/>
    <w:rsid w:val="00CA2BCA"/>
    <w:rsid w:val="00CD6F55"/>
    <w:rsid w:val="00D62425"/>
    <w:rsid w:val="00DE3104"/>
    <w:rsid w:val="00E304D1"/>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8778ADF-B8C8-4AF4-AE9D-7DB1F0EC6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amzamaqsood381@gmail.com"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chart" Target="charts/chart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Anaemia</c:v>
                </c:pt>
              </c:strCache>
            </c:strRef>
          </c:tx>
          <c:spPr>
            <a:solidFill>
              <a:schemeClr val="accent5"/>
            </a:solidFill>
            <a:ln>
              <a:noFill/>
            </a:ln>
            <a:effectLst/>
          </c:spPr>
          <c:invertIfNegative val="0"/>
          <c:dLbls>
            <c:dLbl>
              <c:idx val="0"/>
              <c:layout>
                <c:manualLayout>
                  <c:x val="-2.3148148148148147E-3"/>
                  <c:y val="-3.9682539682540045E-3"/>
                </c:manualLayout>
              </c:layout>
              <c:tx>
                <c:rich>
                  <a:bodyPr/>
                  <a:lstStyle/>
                  <a:p>
                    <a:fld id="{05DCF069-0643-4EB4-A406-B98DFEC87285}" type="VALUE">
                      <a:rPr lang="en-US" sz="950" baseline="0"/>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5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Males</c:v>
                </c:pt>
                <c:pt idx="1">
                  <c:v>Females</c:v>
                </c:pt>
              </c:strCache>
            </c:strRef>
          </c:cat>
          <c:val>
            <c:numRef>
              <c:f>Sheet1!$B$2:$B$3</c:f>
              <c:numCache>
                <c:formatCode>General</c:formatCode>
                <c:ptCount val="2"/>
                <c:pt idx="0">
                  <c:v>44</c:v>
                </c:pt>
                <c:pt idx="1">
                  <c:v>20</c:v>
                </c:pt>
              </c:numCache>
            </c:numRef>
          </c:val>
        </c:ser>
        <c:ser>
          <c:idx val="1"/>
          <c:order val="1"/>
          <c:tx>
            <c:strRef>
              <c:f>Sheet1!$C$1</c:f>
              <c:strCache>
                <c:ptCount val="1"/>
                <c:pt idx="0">
                  <c:v>Normal Hb</c:v>
                </c:pt>
              </c:strCache>
            </c:strRef>
          </c:tx>
          <c:spPr>
            <a:solidFill>
              <a:schemeClr val="tx2">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Males</c:v>
                </c:pt>
                <c:pt idx="1">
                  <c:v>Females</c:v>
                </c:pt>
              </c:strCache>
            </c:strRef>
          </c:cat>
          <c:val>
            <c:numRef>
              <c:f>Sheet1!$C$2:$C$3</c:f>
              <c:numCache>
                <c:formatCode>General</c:formatCode>
                <c:ptCount val="2"/>
                <c:pt idx="0">
                  <c:v>70</c:v>
                </c:pt>
                <c:pt idx="1">
                  <c:v>14</c:v>
                </c:pt>
              </c:numCache>
            </c:numRef>
          </c:val>
        </c:ser>
        <c:dLbls>
          <c:showLegendKey val="0"/>
          <c:showVal val="0"/>
          <c:showCatName val="0"/>
          <c:showSerName val="0"/>
          <c:showPercent val="0"/>
          <c:showBubbleSize val="0"/>
        </c:dLbls>
        <c:gapWidth val="219"/>
        <c:overlap val="-27"/>
        <c:axId val="-1290878992"/>
        <c:axId val="-1290877904"/>
      </c:barChart>
      <c:catAx>
        <c:axId val="-1290878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290877904"/>
        <c:crosses val="autoZero"/>
        <c:auto val="1"/>
        <c:lblAlgn val="ctr"/>
        <c:lblOffset val="100"/>
        <c:noMultiLvlLbl val="0"/>
      </c:catAx>
      <c:valAx>
        <c:axId val="-12908779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800" b="1">
                    <a:solidFill>
                      <a:schemeClr val="tx1">
                        <a:lumMod val="95000"/>
                        <a:lumOff val="5000"/>
                      </a:schemeClr>
                    </a:solidFill>
                  </a:rPr>
                  <a:t>Number</a:t>
                </a:r>
                <a:r>
                  <a:rPr lang="en-US" sz="1800" b="1" baseline="0">
                    <a:solidFill>
                      <a:schemeClr val="tx1">
                        <a:lumMod val="95000"/>
                        <a:lumOff val="5000"/>
                      </a:schemeClr>
                    </a:solidFill>
                  </a:rPr>
                  <a:t> of Patients</a:t>
                </a:r>
                <a:endParaRPr lang="en-US" sz="1800" b="1">
                  <a:solidFill>
                    <a:schemeClr val="tx1">
                      <a:lumMod val="95000"/>
                      <a:lumOff val="5000"/>
                    </a:schemeClr>
                  </a:solidFill>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1290878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658</Words>
  <Characters>3754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Hamza Golo</cp:lastModifiedBy>
  <cp:revision>5</cp:revision>
  <dcterms:created xsi:type="dcterms:W3CDTF">2016-08-31T13:10:00Z</dcterms:created>
  <dcterms:modified xsi:type="dcterms:W3CDTF">2019-08-01T09:00:00Z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