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105F" w:rsidRPr="00D2105F" w:rsidRDefault="00D2105F" w:rsidP="00D2105F">
      <w:pPr>
        <w:widowControl/>
        <w:spacing w:after="200" w:line="480" w:lineRule="auto"/>
        <w:jc w:val="center"/>
        <w:rPr>
          <w:rFonts w:eastAsiaTheme="minorHAnsi" w:cstheme="majorBidi"/>
          <w:b/>
          <w:bCs/>
          <w:sz w:val="18"/>
          <w:szCs w:val="18"/>
        </w:rPr>
      </w:pPr>
      <w:r w:rsidRPr="00D2105F">
        <w:rPr>
          <w:rFonts w:eastAsiaTheme="minorHAnsi" w:cstheme="majorBidi"/>
          <w:b/>
          <w:bCs/>
          <w:sz w:val="18"/>
          <w:szCs w:val="18"/>
        </w:rPr>
        <w:t>AGXT2 and DDAH-1 Genetic Variants are Highly Correlated with Serum ADMA and SDMA Levels and with Incidence of Coronary Artery Disease in Egyptians</w:t>
      </w:r>
    </w:p>
    <w:p w:rsidR="00D2105F" w:rsidRPr="00D2105F" w:rsidRDefault="00D2105F" w:rsidP="00D2105F">
      <w:pPr>
        <w:widowControl/>
        <w:spacing w:after="200" w:line="480" w:lineRule="auto"/>
        <w:rPr>
          <w:rFonts w:eastAsiaTheme="minorHAnsi" w:cstheme="majorBidi"/>
          <w:b/>
          <w:bCs/>
          <w:sz w:val="18"/>
          <w:szCs w:val="18"/>
          <w:vertAlign w:val="superscript"/>
        </w:rPr>
      </w:pPr>
      <w:r w:rsidRPr="00D2105F">
        <w:rPr>
          <w:rFonts w:eastAsiaTheme="minorHAnsi" w:cstheme="majorBidi"/>
          <w:b/>
          <w:bCs/>
          <w:sz w:val="18"/>
          <w:szCs w:val="18"/>
        </w:rPr>
        <w:t>Mina Amir</w:t>
      </w:r>
      <w:r w:rsidRPr="00D2105F">
        <w:rPr>
          <w:rFonts w:eastAsiaTheme="minorHAnsi" w:cstheme="majorBidi"/>
          <w:b/>
          <w:bCs/>
          <w:sz w:val="18"/>
          <w:szCs w:val="18"/>
          <w:vertAlign w:val="superscript"/>
        </w:rPr>
        <w:t>1</w:t>
      </w:r>
      <w:r w:rsidRPr="00D2105F">
        <w:rPr>
          <w:rFonts w:eastAsiaTheme="minorHAnsi" w:cstheme="majorBidi"/>
          <w:b/>
          <w:bCs/>
          <w:sz w:val="18"/>
          <w:szCs w:val="18"/>
        </w:rPr>
        <w:t xml:space="preserve">, Sally I. </w:t>
      </w:r>
      <w:proofErr w:type="spellStart"/>
      <w:r w:rsidRPr="00D2105F">
        <w:rPr>
          <w:rFonts w:eastAsiaTheme="minorHAnsi" w:cstheme="majorBidi"/>
          <w:b/>
          <w:bCs/>
          <w:sz w:val="18"/>
          <w:szCs w:val="18"/>
        </w:rPr>
        <w:t>Hassanein</w:t>
      </w:r>
      <w:proofErr w:type="spellEnd"/>
      <w:r w:rsidRPr="00D2105F">
        <w:rPr>
          <w:rFonts w:eastAsiaTheme="minorHAnsi" w:cstheme="majorBidi"/>
          <w:b/>
          <w:bCs/>
          <w:sz w:val="18"/>
          <w:szCs w:val="18"/>
        </w:rPr>
        <w:t xml:space="preserve"> iD</w:t>
      </w:r>
      <w:r w:rsidRPr="00D2105F">
        <w:rPr>
          <w:rFonts w:eastAsiaTheme="minorHAnsi" w:cstheme="majorBidi"/>
          <w:b/>
          <w:bCs/>
          <w:sz w:val="18"/>
          <w:szCs w:val="18"/>
          <w:vertAlign w:val="superscript"/>
        </w:rPr>
        <w:t>1*</w:t>
      </w:r>
      <w:r w:rsidRPr="00D2105F">
        <w:rPr>
          <w:rFonts w:eastAsiaTheme="minorHAnsi" w:cstheme="majorBidi"/>
          <w:b/>
          <w:bCs/>
          <w:sz w:val="18"/>
          <w:szCs w:val="18"/>
        </w:rPr>
        <w:t>, Mohamed F. Abdel Rahman</w:t>
      </w:r>
      <w:r w:rsidRPr="00D2105F">
        <w:rPr>
          <w:rFonts w:eastAsiaTheme="minorHAnsi" w:cstheme="majorBidi"/>
          <w:b/>
          <w:bCs/>
          <w:sz w:val="18"/>
          <w:szCs w:val="18"/>
          <w:vertAlign w:val="superscript"/>
        </w:rPr>
        <w:t>2</w:t>
      </w:r>
      <w:r w:rsidRPr="00D2105F">
        <w:rPr>
          <w:rFonts w:eastAsiaTheme="minorHAnsi" w:cstheme="majorBidi"/>
          <w:b/>
          <w:bCs/>
          <w:sz w:val="18"/>
          <w:szCs w:val="18"/>
        </w:rPr>
        <w:t>, Mohamed Z. Gad</w:t>
      </w:r>
      <w:r w:rsidRPr="00D2105F">
        <w:rPr>
          <w:rFonts w:eastAsiaTheme="minorHAnsi" w:cstheme="majorBidi"/>
          <w:b/>
          <w:bCs/>
          <w:sz w:val="18"/>
          <w:szCs w:val="18"/>
          <w:vertAlign w:val="superscript"/>
        </w:rPr>
        <w:t>1</w:t>
      </w:r>
    </w:p>
    <w:p w:rsidR="00D2105F" w:rsidRPr="00D2105F" w:rsidRDefault="00D2105F" w:rsidP="00D2105F">
      <w:pPr>
        <w:widowControl/>
        <w:spacing w:before="120" w:after="200" w:line="480" w:lineRule="auto"/>
        <w:rPr>
          <w:rFonts w:eastAsia="Times New Roman" w:cs="Times New Roman"/>
          <w:sz w:val="18"/>
          <w:szCs w:val="18"/>
        </w:rPr>
      </w:pPr>
      <w:proofErr w:type="gramStart"/>
      <w:r w:rsidRPr="00D2105F">
        <w:rPr>
          <w:rFonts w:eastAsiaTheme="minorHAnsi" w:cs="Times New Roman"/>
          <w:b/>
          <w:bCs/>
          <w:sz w:val="18"/>
          <w:szCs w:val="18"/>
          <w:vertAlign w:val="superscript"/>
        </w:rPr>
        <w:t>1</w:t>
      </w:r>
      <w:proofErr w:type="gramEnd"/>
      <w:r w:rsidRPr="00D2105F">
        <w:rPr>
          <w:rFonts w:eastAsiaTheme="minorHAnsi" w:cs="Times New Roman"/>
          <w:b/>
          <w:bCs/>
          <w:sz w:val="18"/>
          <w:szCs w:val="18"/>
          <w:vertAlign w:val="superscript"/>
        </w:rPr>
        <w:t xml:space="preserve"> </w:t>
      </w:r>
      <w:r w:rsidRPr="00D2105F">
        <w:rPr>
          <w:rFonts w:eastAsia="Times New Roman" w:cs="Times New Roman"/>
          <w:sz w:val="18"/>
          <w:szCs w:val="18"/>
        </w:rPr>
        <w:t xml:space="preserve">Clinical Biochemistry Unit, Faculty of Pharmacy and Biotechnology, German University in Cairo (GUC), Cairo, Egypt. </w:t>
      </w:r>
      <w:hyperlink r:id="rId7" w:history="1">
        <w:r w:rsidRPr="00D2105F">
          <w:rPr>
            <w:rFonts w:eastAsia="Times New Roman" w:cs="Times New Roman"/>
            <w:color w:val="0000FF" w:themeColor="hyperlink"/>
            <w:sz w:val="18"/>
            <w:szCs w:val="18"/>
            <w:u w:val="single"/>
          </w:rPr>
          <w:t>Mina.amir@student.guc.edu.eg</w:t>
        </w:r>
      </w:hyperlink>
    </w:p>
    <w:p w:rsidR="00D2105F" w:rsidRPr="00D2105F" w:rsidRDefault="00D2105F" w:rsidP="00D2105F">
      <w:pPr>
        <w:widowControl/>
        <w:spacing w:after="200" w:line="480" w:lineRule="auto"/>
        <w:rPr>
          <w:rFonts w:eastAsia="Times New Roman" w:cstheme="majorBidi"/>
          <w:sz w:val="18"/>
          <w:szCs w:val="18"/>
        </w:rPr>
      </w:pPr>
      <w:proofErr w:type="gramStart"/>
      <w:r w:rsidRPr="00D2105F">
        <w:rPr>
          <w:rFonts w:eastAsiaTheme="minorHAnsi" w:cs="Times New Roman"/>
          <w:b/>
          <w:bCs/>
          <w:sz w:val="18"/>
          <w:szCs w:val="18"/>
          <w:vertAlign w:val="superscript"/>
        </w:rPr>
        <w:t>1</w:t>
      </w:r>
      <w:proofErr w:type="gramEnd"/>
      <w:r w:rsidRPr="00D2105F">
        <w:rPr>
          <w:rFonts w:eastAsiaTheme="minorHAnsi" w:cs="Times New Roman"/>
          <w:b/>
          <w:bCs/>
          <w:sz w:val="18"/>
          <w:szCs w:val="18"/>
          <w:vertAlign w:val="superscript"/>
        </w:rPr>
        <w:t xml:space="preserve"> </w:t>
      </w:r>
      <w:r w:rsidRPr="00D2105F">
        <w:rPr>
          <w:rFonts w:eastAsia="Times New Roman" w:cs="Times New Roman"/>
          <w:sz w:val="18"/>
          <w:szCs w:val="18"/>
        </w:rPr>
        <w:t xml:space="preserve">Clinical Biochemistry Unit, Faculty of Pharmacy and Biotechnology, German University in Cairo (GUC), Cairo, Egypt. Lecturer Biochemistry Department, </w:t>
      </w:r>
      <w:r w:rsidRPr="00D2105F">
        <w:rPr>
          <w:rFonts w:eastAsia="Times New Roman" w:cstheme="majorBidi"/>
          <w:sz w:val="18"/>
          <w:szCs w:val="18"/>
        </w:rPr>
        <w:t>sally.ibrahim@guc.edu.eg</w:t>
      </w:r>
    </w:p>
    <w:p w:rsidR="00D2105F" w:rsidRPr="00D2105F" w:rsidRDefault="00D2105F" w:rsidP="00D2105F">
      <w:pPr>
        <w:widowControl/>
        <w:spacing w:after="200" w:line="480" w:lineRule="auto"/>
        <w:rPr>
          <w:rFonts w:eastAsia="Times New Roman" w:cs="Times New Roman"/>
          <w:sz w:val="18"/>
          <w:szCs w:val="18"/>
        </w:rPr>
      </w:pPr>
      <w:r w:rsidRPr="00D2105F">
        <w:rPr>
          <w:rFonts w:eastAsiaTheme="minorHAnsi" w:cs="Times New Roman"/>
          <w:sz w:val="18"/>
          <w:szCs w:val="18"/>
          <w:vertAlign w:val="superscript"/>
        </w:rPr>
        <w:t>2</w:t>
      </w:r>
      <w:r w:rsidRPr="00D2105F">
        <w:rPr>
          <w:rFonts w:eastAsiaTheme="minorHAnsi" w:cs="Times New Roman"/>
          <w:b/>
          <w:bCs/>
          <w:sz w:val="18"/>
          <w:szCs w:val="18"/>
          <w:vertAlign w:val="superscript"/>
        </w:rPr>
        <w:t xml:space="preserve"> </w:t>
      </w:r>
      <w:r w:rsidRPr="00D2105F">
        <w:rPr>
          <w:rFonts w:eastAsia="Times New Roman" w:cs="Times New Roman"/>
          <w:sz w:val="18"/>
          <w:szCs w:val="18"/>
        </w:rPr>
        <w:t xml:space="preserve">Biochemistry Department, Faculty of Pharmacy, October University for Modern Sciences and Arts (MSA), Egypt, </w:t>
      </w:r>
      <w:hyperlink r:id="rId8" w:history="1">
        <w:r w:rsidRPr="00D2105F">
          <w:rPr>
            <w:rFonts w:eastAsia="Times New Roman" w:cs="Times New Roman"/>
            <w:color w:val="0000FF" w:themeColor="hyperlink"/>
            <w:sz w:val="18"/>
            <w:szCs w:val="18"/>
            <w:u w:val="single"/>
          </w:rPr>
          <w:t>mmfarouk@msa.eun.eg</w:t>
        </w:r>
      </w:hyperlink>
      <w:r w:rsidRPr="00D2105F">
        <w:rPr>
          <w:rFonts w:eastAsia="Times New Roman" w:cs="Times New Roman"/>
          <w:color w:val="0000FF" w:themeColor="hyperlink"/>
          <w:sz w:val="18"/>
          <w:szCs w:val="18"/>
          <w:u w:val="single"/>
        </w:rPr>
        <w:t xml:space="preserve">, </w:t>
      </w:r>
      <w:r w:rsidRPr="00D2105F">
        <w:rPr>
          <w:rFonts w:eastAsiaTheme="minorHAnsi" w:cstheme="minorBidi"/>
          <w:color w:val="000000"/>
          <w:sz w:val="18"/>
          <w:szCs w:val="18"/>
          <w:shd w:val="clear" w:color="auto" w:fill="FFFFFF"/>
        </w:rPr>
        <w:t>Abdel Rahman MF</w:t>
      </w:r>
    </w:p>
    <w:p w:rsidR="00D2105F" w:rsidRPr="00D2105F" w:rsidRDefault="00D2105F" w:rsidP="00D2105F">
      <w:pPr>
        <w:widowControl/>
        <w:spacing w:before="120" w:after="200" w:line="480" w:lineRule="auto"/>
        <w:rPr>
          <w:rFonts w:eastAsia="Times New Roman" w:cs="Times New Roman"/>
          <w:sz w:val="18"/>
          <w:szCs w:val="18"/>
        </w:rPr>
      </w:pPr>
      <w:r w:rsidRPr="00D2105F">
        <w:rPr>
          <w:rFonts w:eastAsiaTheme="minorHAnsi" w:cs="Times New Roman"/>
          <w:b/>
          <w:bCs/>
          <w:sz w:val="18"/>
          <w:szCs w:val="18"/>
          <w:vertAlign w:val="superscript"/>
        </w:rPr>
        <w:t xml:space="preserve">1 </w:t>
      </w:r>
      <w:r w:rsidRPr="00D2105F">
        <w:rPr>
          <w:rFonts w:eastAsia="Times New Roman" w:cs="Times New Roman"/>
          <w:sz w:val="18"/>
          <w:szCs w:val="18"/>
        </w:rPr>
        <w:t xml:space="preserve">Clinical Biochemistry Unit, Faculty of Pharmacy and Biotechnology, German University in Cairo (GUC), Cairo, Egypt, Dean of Faculty Pharmacy and Biotechnology, </w:t>
      </w:r>
      <w:hyperlink r:id="rId9" w:history="1">
        <w:r w:rsidRPr="00D2105F">
          <w:rPr>
            <w:rFonts w:eastAsia="Times New Roman" w:cs="Times New Roman"/>
            <w:color w:val="0000FF" w:themeColor="hyperlink"/>
            <w:sz w:val="18"/>
            <w:szCs w:val="18"/>
            <w:u w:val="single"/>
          </w:rPr>
          <w:t>Mohamed.gad@guc.edu.eg</w:t>
        </w:r>
      </w:hyperlink>
      <w:r w:rsidRPr="00D2105F">
        <w:rPr>
          <w:rFonts w:eastAsia="Times New Roman" w:cs="Times New Roman"/>
          <w:sz w:val="18"/>
          <w:szCs w:val="18"/>
        </w:rPr>
        <w:t>, Gad MZ</w:t>
      </w:r>
    </w:p>
    <w:p w:rsidR="00AE3E37" w:rsidRDefault="00AE3E37">
      <w:pPr>
        <w:rPr>
          <w:rFonts w:ascii="Arial"/>
          <w:sz w:val="21"/>
        </w:rPr>
        <w:sectPr w:rsidR="00AE3E37">
          <w:headerReference w:type="default" r:id="rId10"/>
          <w:footerReference w:type="default" r:id="rId11"/>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2F23A3">
        <w:rPr>
          <w:color w:val="BF5A14"/>
        </w:rPr>
        <w:t xml:space="preserve"> </w:t>
      </w:r>
    </w:p>
    <w:p w:rsidR="00D2105F" w:rsidRPr="00D2105F" w:rsidRDefault="00D2105F" w:rsidP="00BB0940">
      <w:pPr>
        <w:spacing w:line="360" w:lineRule="auto"/>
        <w:rPr>
          <w:rFonts w:cstheme="minorHAnsi"/>
          <w:sz w:val="18"/>
          <w:szCs w:val="18"/>
        </w:rPr>
      </w:pPr>
      <w:r w:rsidRPr="00D2105F">
        <w:rPr>
          <w:rFonts w:cstheme="minorHAnsi"/>
          <w:b/>
          <w:bCs/>
          <w:i/>
          <w:iCs/>
          <w:sz w:val="18"/>
          <w:szCs w:val="18"/>
        </w:rPr>
        <w:t xml:space="preserve">Background: </w:t>
      </w:r>
      <w:proofErr w:type="spellStart"/>
      <w:r w:rsidRPr="00D2105F">
        <w:rPr>
          <w:rFonts w:cstheme="minorHAnsi"/>
          <w:sz w:val="18"/>
          <w:szCs w:val="18"/>
        </w:rPr>
        <w:t>Dimethylarginine</w:t>
      </w:r>
      <w:proofErr w:type="spellEnd"/>
      <w:r w:rsidRPr="00D2105F">
        <w:rPr>
          <w:rFonts w:cstheme="minorHAnsi"/>
          <w:sz w:val="18"/>
          <w:szCs w:val="18"/>
        </w:rPr>
        <w:t xml:space="preserve"> </w:t>
      </w:r>
      <w:proofErr w:type="spellStart"/>
      <w:r w:rsidRPr="00D2105F">
        <w:rPr>
          <w:rFonts w:cstheme="minorHAnsi"/>
          <w:sz w:val="18"/>
          <w:szCs w:val="18"/>
        </w:rPr>
        <w:t>aminodehydrolase</w:t>
      </w:r>
      <w:proofErr w:type="spellEnd"/>
      <w:r w:rsidRPr="00D2105F">
        <w:rPr>
          <w:rFonts w:cstheme="minorHAnsi"/>
          <w:sz w:val="18"/>
          <w:szCs w:val="18"/>
        </w:rPr>
        <w:t xml:space="preserve"> (DDAH1) and alanine </w:t>
      </w:r>
      <w:proofErr w:type="spellStart"/>
      <w:r w:rsidRPr="00D2105F">
        <w:rPr>
          <w:rFonts w:cstheme="minorHAnsi"/>
          <w:sz w:val="18"/>
          <w:szCs w:val="18"/>
        </w:rPr>
        <w:t>glyoxylate</w:t>
      </w:r>
      <w:proofErr w:type="spellEnd"/>
      <w:r w:rsidRPr="00D2105F">
        <w:rPr>
          <w:rFonts w:cstheme="minorHAnsi"/>
          <w:sz w:val="18"/>
          <w:szCs w:val="18"/>
        </w:rPr>
        <w:t xml:space="preserve"> aminotransferase2 (AGXT2) are two enzymes that contribute in asymmetric </w:t>
      </w:r>
      <w:proofErr w:type="spellStart"/>
      <w:r w:rsidRPr="00D2105F">
        <w:rPr>
          <w:rFonts w:cstheme="minorHAnsi"/>
          <w:sz w:val="18"/>
          <w:szCs w:val="18"/>
        </w:rPr>
        <w:t>dimethylarginine</w:t>
      </w:r>
      <w:proofErr w:type="spellEnd"/>
      <w:r w:rsidRPr="00D2105F">
        <w:rPr>
          <w:rFonts w:cstheme="minorHAnsi"/>
          <w:sz w:val="18"/>
          <w:szCs w:val="18"/>
        </w:rPr>
        <w:t xml:space="preserve"> (ADMA) and symmetric </w:t>
      </w:r>
      <w:proofErr w:type="spellStart"/>
      <w:r w:rsidRPr="00D2105F">
        <w:rPr>
          <w:rFonts w:cstheme="minorHAnsi"/>
          <w:sz w:val="18"/>
          <w:szCs w:val="18"/>
        </w:rPr>
        <w:t>dimethylarginine</w:t>
      </w:r>
      <w:proofErr w:type="spellEnd"/>
      <w:r w:rsidRPr="00D2105F">
        <w:rPr>
          <w:rFonts w:cstheme="minorHAnsi"/>
          <w:sz w:val="18"/>
          <w:szCs w:val="18"/>
        </w:rPr>
        <w:t xml:space="preserve"> (SDMA) metabolism. </w:t>
      </w:r>
      <w:proofErr w:type="gramStart"/>
      <w:r w:rsidRPr="00D2105F">
        <w:rPr>
          <w:rFonts w:cstheme="minorHAnsi"/>
          <w:sz w:val="18"/>
          <w:szCs w:val="18"/>
        </w:rPr>
        <w:t>Hence</w:t>
      </w:r>
      <w:proofErr w:type="gramEnd"/>
      <w:r w:rsidRPr="00D2105F">
        <w:rPr>
          <w:rFonts w:cstheme="minorHAnsi"/>
          <w:sz w:val="18"/>
          <w:szCs w:val="18"/>
        </w:rPr>
        <w:t xml:space="preserve"> they affect production and bioavailability of </w:t>
      </w:r>
      <w:proofErr w:type="spellStart"/>
      <w:r w:rsidRPr="00D2105F">
        <w:rPr>
          <w:rFonts w:cstheme="minorHAnsi"/>
          <w:sz w:val="18"/>
          <w:szCs w:val="18"/>
        </w:rPr>
        <w:t>eNOS</w:t>
      </w:r>
      <w:proofErr w:type="spellEnd"/>
      <w:r w:rsidRPr="00D2105F">
        <w:rPr>
          <w:rFonts w:cstheme="minorHAnsi"/>
          <w:sz w:val="18"/>
          <w:szCs w:val="18"/>
        </w:rPr>
        <w:t xml:space="preserve">-derived nitric oxide (NO) and consequently healthy blood vessels. The major aims of the current study were to investigate the association of genetic variants of AGXT2 rs37369, AGXT2 rs16899974 and DDAH1 rs997251 SNPs with incidence of coronary artery disease (CAD) in Egyptians and to correlate these variants with the serum levels of ADMA and SDMA. </w:t>
      </w:r>
    </w:p>
    <w:p w:rsidR="00D2105F" w:rsidRPr="00D2105F" w:rsidRDefault="00D2105F" w:rsidP="00D2105F">
      <w:pPr>
        <w:spacing w:line="360" w:lineRule="auto"/>
        <w:rPr>
          <w:rFonts w:cstheme="minorHAnsi"/>
          <w:sz w:val="18"/>
          <w:szCs w:val="18"/>
        </w:rPr>
      </w:pPr>
      <w:r w:rsidRPr="00D2105F">
        <w:rPr>
          <w:rFonts w:cstheme="minorHAnsi"/>
          <w:b/>
          <w:bCs/>
          <w:i/>
          <w:iCs/>
          <w:sz w:val="18"/>
          <w:szCs w:val="18"/>
        </w:rPr>
        <w:t xml:space="preserve">Methods: </w:t>
      </w:r>
      <w:r w:rsidRPr="00D2105F">
        <w:rPr>
          <w:rFonts w:cstheme="minorHAnsi"/>
          <w:sz w:val="18"/>
          <w:szCs w:val="18"/>
        </w:rPr>
        <w:t>The study included 150 subjects</w:t>
      </w:r>
      <w:proofErr w:type="gramStart"/>
      <w:r w:rsidRPr="00D2105F">
        <w:rPr>
          <w:rFonts w:cstheme="minorHAnsi"/>
          <w:sz w:val="18"/>
          <w:szCs w:val="18"/>
        </w:rPr>
        <w:t>;</w:t>
      </w:r>
      <w:proofErr w:type="gramEnd"/>
      <w:r w:rsidRPr="00D2105F">
        <w:rPr>
          <w:rFonts w:cstheme="minorHAnsi"/>
          <w:sz w:val="18"/>
          <w:szCs w:val="18"/>
        </w:rPr>
        <w:t xml:space="preserve"> 100 CAD patients and 50 healthy controls. Genotyping was performed by qPCR while </w:t>
      </w:r>
      <w:proofErr w:type="gramStart"/>
      <w:r w:rsidRPr="00D2105F">
        <w:rPr>
          <w:rFonts w:cstheme="minorHAnsi"/>
          <w:sz w:val="18"/>
          <w:szCs w:val="18"/>
        </w:rPr>
        <w:t>the ADMA and SDMA concentrations were assayed by ELISA</w:t>
      </w:r>
      <w:proofErr w:type="gramEnd"/>
      <w:r w:rsidRPr="00D2105F">
        <w:rPr>
          <w:rFonts w:cstheme="minorHAnsi"/>
          <w:sz w:val="18"/>
          <w:szCs w:val="18"/>
        </w:rPr>
        <w:t xml:space="preserve">. </w:t>
      </w:r>
    </w:p>
    <w:p w:rsidR="00D2105F" w:rsidRPr="00D2105F" w:rsidRDefault="00D2105F" w:rsidP="00D2105F">
      <w:pPr>
        <w:spacing w:line="360" w:lineRule="auto"/>
        <w:rPr>
          <w:rFonts w:cstheme="minorHAnsi"/>
          <w:sz w:val="18"/>
          <w:szCs w:val="18"/>
        </w:rPr>
      </w:pPr>
      <w:r w:rsidRPr="00D2105F">
        <w:rPr>
          <w:rFonts w:cstheme="minorHAnsi"/>
          <w:b/>
          <w:bCs/>
          <w:i/>
          <w:iCs/>
          <w:sz w:val="18"/>
          <w:szCs w:val="18"/>
        </w:rPr>
        <w:t xml:space="preserve">Results: </w:t>
      </w:r>
      <w:r w:rsidRPr="00D2105F">
        <w:rPr>
          <w:rFonts w:cstheme="minorHAnsi"/>
          <w:sz w:val="18"/>
          <w:szCs w:val="18"/>
        </w:rPr>
        <w:t xml:space="preserve">Both serum ADMA and SDMA concentrations were significantly higher in CAD patients compared to controls (both </w:t>
      </w:r>
      <w:r w:rsidRPr="00D2105F">
        <w:rPr>
          <w:rFonts w:cstheme="minorHAnsi"/>
          <w:i/>
          <w:iCs/>
          <w:sz w:val="18"/>
          <w:szCs w:val="18"/>
        </w:rPr>
        <w:t>p</w:t>
      </w:r>
      <w:r w:rsidRPr="00D2105F">
        <w:rPr>
          <w:rFonts w:cstheme="minorHAnsi"/>
          <w:sz w:val="18"/>
          <w:szCs w:val="18"/>
        </w:rPr>
        <w:t xml:space="preserve"> &lt;0.0001). </w:t>
      </w:r>
      <w:r>
        <w:rPr>
          <w:rFonts w:cstheme="minorHAnsi"/>
          <w:sz w:val="18"/>
          <w:szCs w:val="18"/>
        </w:rPr>
        <w:t xml:space="preserve">   </w:t>
      </w:r>
      <w:r w:rsidRPr="00D2105F">
        <w:rPr>
          <w:rFonts w:cstheme="minorHAnsi"/>
          <w:sz w:val="18"/>
          <w:szCs w:val="18"/>
        </w:rPr>
        <w:t>Genotype distributions for all studied SNPs were significantly different between CAD patients and controls. Carriers of AGXT2 rs37369-T allele (CT+TT genotypes) and AGXT2 rs16899974-A allele (CA+AA genotypes)  had 2.4 and 2.08 fold higher risk of having CAD than CC genotype in both SNPs (</w:t>
      </w:r>
      <w:r w:rsidRPr="00D2105F">
        <w:rPr>
          <w:rFonts w:cstheme="minorHAnsi"/>
          <w:i/>
          <w:iCs/>
          <w:sz w:val="18"/>
          <w:szCs w:val="18"/>
        </w:rPr>
        <w:t xml:space="preserve">p </w:t>
      </w:r>
      <w:r w:rsidRPr="00D2105F">
        <w:rPr>
          <w:rFonts w:cstheme="minorHAnsi"/>
          <w:sz w:val="18"/>
          <w:szCs w:val="18"/>
        </w:rPr>
        <w:t>= 0.0050 and 0.0192, respectively). DDAH1 rs997251 TC+CC genotypes were associated with 2.3 fold higher risk of CAD than TT genotype (</w:t>
      </w:r>
      <w:r w:rsidRPr="00D2105F">
        <w:rPr>
          <w:rFonts w:cstheme="minorHAnsi"/>
          <w:i/>
          <w:iCs/>
          <w:sz w:val="18"/>
          <w:szCs w:val="18"/>
        </w:rPr>
        <w:t>p</w:t>
      </w:r>
      <w:r w:rsidRPr="00D2105F">
        <w:rPr>
          <w:rFonts w:cstheme="minorHAnsi"/>
          <w:b/>
          <w:bCs/>
          <w:i/>
          <w:iCs/>
          <w:sz w:val="18"/>
          <w:szCs w:val="18"/>
        </w:rPr>
        <w:t xml:space="preserve"> </w:t>
      </w:r>
      <w:r w:rsidRPr="00D2105F">
        <w:rPr>
          <w:rFonts w:cstheme="minorHAnsi"/>
          <w:b/>
          <w:bCs/>
          <w:sz w:val="18"/>
          <w:szCs w:val="18"/>
        </w:rPr>
        <w:t>=</w:t>
      </w:r>
      <w:r w:rsidRPr="00D2105F">
        <w:rPr>
          <w:rFonts w:cstheme="minorHAnsi"/>
          <w:sz w:val="18"/>
          <w:szCs w:val="18"/>
        </w:rPr>
        <w:t xml:space="preserve"> 0.0063). Moreover, the AGXT2 rs37369 TT and AGXT2 rs16899974 AA genotypes were associated with the highest serum ADMA and SDMA while DDAH1 rs997251 CC genotype was associated with the highest ADMA.</w:t>
      </w:r>
    </w:p>
    <w:p w:rsidR="00D2105F" w:rsidRPr="00D2105F" w:rsidRDefault="00D2105F" w:rsidP="00D2105F">
      <w:pPr>
        <w:spacing w:line="360" w:lineRule="auto"/>
        <w:rPr>
          <w:rFonts w:cstheme="minorHAnsi"/>
          <w:sz w:val="18"/>
          <w:szCs w:val="18"/>
        </w:rPr>
      </w:pPr>
      <w:r w:rsidRPr="00D2105F">
        <w:rPr>
          <w:rFonts w:cstheme="minorHAnsi"/>
          <w:b/>
          <w:bCs/>
          <w:i/>
          <w:iCs/>
          <w:sz w:val="18"/>
          <w:szCs w:val="18"/>
        </w:rPr>
        <w:t xml:space="preserve">Conclusion: </w:t>
      </w:r>
      <w:r w:rsidRPr="00D2105F">
        <w:rPr>
          <w:rFonts w:cstheme="minorHAnsi"/>
          <w:sz w:val="18"/>
          <w:szCs w:val="18"/>
        </w:rPr>
        <w:t>AGXT2 rs37369-T, AGXT2 rs16899974-</w:t>
      </w:r>
      <w:proofErr w:type="gramStart"/>
      <w:r w:rsidRPr="00D2105F">
        <w:rPr>
          <w:rFonts w:cstheme="minorHAnsi"/>
          <w:sz w:val="18"/>
          <w:szCs w:val="18"/>
        </w:rPr>
        <w:t>A,</w:t>
      </w:r>
      <w:proofErr w:type="gramEnd"/>
      <w:r w:rsidRPr="00D2105F">
        <w:rPr>
          <w:rFonts w:cstheme="minorHAnsi"/>
          <w:sz w:val="18"/>
          <w:szCs w:val="18"/>
        </w:rPr>
        <w:t xml:space="preserve"> and DDAH1 rs997251-C alleles represent independent risk factors for CAD in the Egyptians. </w:t>
      </w:r>
    </w:p>
    <w:p w:rsidR="00AE3E37" w:rsidRDefault="00A9710C" w:rsidP="00D2105F">
      <w:pPr>
        <w:pStyle w:val="Heading3"/>
        <w:spacing w:before="74"/>
      </w:pPr>
      <w:r>
        <w:rPr>
          <w:b w:val="0"/>
        </w:rPr>
        <w:br w:type="column"/>
      </w:r>
    </w:p>
    <w:p w:rsidR="005973B9" w:rsidRDefault="00E46489" w:rsidP="005973B9">
      <w:pPr>
        <w:spacing w:line="204" w:lineRule="exact"/>
        <w:rPr>
          <w:rFonts w:ascii="Arial"/>
          <w:b/>
          <w:color w:val="BF5A14"/>
          <w:sz w:val="20"/>
        </w:rPr>
      </w:pPr>
      <w:r>
        <w:rPr>
          <w:rFonts w:ascii="Arial"/>
          <w:b/>
          <w:color w:val="BF5A14"/>
          <w:sz w:val="20"/>
        </w:rPr>
        <w:t xml:space="preserve">Recent Publications </w:t>
      </w:r>
    </w:p>
    <w:p w:rsidR="00E46489" w:rsidRDefault="00E46489" w:rsidP="005973B9">
      <w:pPr>
        <w:spacing w:line="204" w:lineRule="exact"/>
        <w:rPr>
          <w:rFonts w:ascii="Arial"/>
          <w:b/>
          <w:sz w:val="20"/>
        </w:rPr>
      </w:pPr>
    </w:p>
    <w:p w:rsidR="00D2105F" w:rsidRPr="00D2105F" w:rsidRDefault="00D2105F" w:rsidP="00E46489">
      <w:pPr>
        <w:autoSpaceDE w:val="0"/>
        <w:autoSpaceDN w:val="0"/>
        <w:adjustRightInd w:val="0"/>
        <w:ind w:left="640" w:hanging="640"/>
        <w:rPr>
          <w:rFonts w:cs="Times New Roman"/>
          <w:noProof/>
          <w:sz w:val="18"/>
          <w:szCs w:val="18"/>
        </w:rPr>
      </w:pPr>
      <w:r w:rsidRPr="00D2105F">
        <w:rPr>
          <w:rFonts w:cs="Times New Roman"/>
          <w:noProof/>
          <w:sz w:val="18"/>
          <w:szCs w:val="18"/>
        </w:rPr>
        <w:t xml:space="preserve">1-Abu el Maaty MA, Hassanein SI, Sleem HM, Gad MZ (2015) Vitamin </w:t>
      </w:r>
    </w:p>
    <w:p w:rsidR="00D2105F" w:rsidRPr="00D2105F" w:rsidRDefault="00D2105F" w:rsidP="00E46489">
      <w:pPr>
        <w:autoSpaceDE w:val="0"/>
        <w:autoSpaceDN w:val="0"/>
        <w:adjustRightInd w:val="0"/>
        <w:ind w:left="640" w:hanging="640"/>
        <w:rPr>
          <w:rFonts w:cs="Times New Roman"/>
          <w:noProof/>
          <w:sz w:val="18"/>
          <w:szCs w:val="18"/>
        </w:rPr>
      </w:pPr>
      <w:r w:rsidRPr="00D2105F">
        <w:rPr>
          <w:rFonts w:cs="Times New Roman"/>
          <w:noProof/>
          <w:sz w:val="18"/>
          <w:szCs w:val="18"/>
        </w:rPr>
        <w:t xml:space="preserve">    D receptor gene polymorphisms (TaqI and ApaI) in relation to 25-</w:t>
      </w:r>
    </w:p>
    <w:p w:rsidR="00D2105F" w:rsidRPr="00D2105F" w:rsidRDefault="00D2105F" w:rsidP="00E46489">
      <w:pPr>
        <w:autoSpaceDE w:val="0"/>
        <w:autoSpaceDN w:val="0"/>
        <w:adjustRightInd w:val="0"/>
        <w:ind w:left="640" w:hanging="640"/>
        <w:rPr>
          <w:rFonts w:cs="Times New Roman"/>
          <w:noProof/>
          <w:sz w:val="18"/>
          <w:szCs w:val="18"/>
        </w:rPr>
      </w:pPr>
      <w:r w:rsidRPr="00D2105F">
        <w:rPr>
          <w:rFonts w:cs="Times New Roman"/>
          <w:noProof/>
          <w:sz w:val="18"/>
          <w:szCs w:val="18"/>
        </w:rPr>
        <w:t xml:space="preserve">    hydroxyvitamin D levels and coronary artery disease incidence. J </w:t>
      </w:r>
    </w:p>
    <w:p w:rsidR="00D2105F" w:rsidRDefault="00D2105F" w:rsidP="00E46489">
      <w:pPr>
        <w:autoSpaceDE w:val="0"/>
        <w:autoSpaceDN w:val="0"/>
        <w:adjustRightInd w:val="0"/>
        <w:ind w:left="640" w:hanging="640"/>
        <w:rPr>
          <w:rFonts w:cs="Times New Roman"/>
          <w:noProof/>
          <w:sz w:val="18"/>
          <w:szCs w:val="18"/>
        </w:rPr>
      </w:pPr>
      <w:r w:rsidRPr="00D2105F">
        <w:rPr>
          <w:rFonts w:cs="Times New Roman"/>
          <w:noProof/>
          <w:sz w:val="18"/>
          <w:szCs w:val="18"/>
        </w:rPr>
        <w:t xml:space="preserve">    Recept Signal Transduct 35:391–395</w:t>
      </w:r>
    </w:p>
    <w:p w:rsidR="00E46489" w:rsidRPr="00D2105F" w:rsidRDefault="00E46489" w:rsidP="00E46489">
      <w:pPr>
        <w:autoSpaceDE w:val="0"/>
        <w:autoSpaceDN w:val="0"/>
        <w:adjustRightInd w:val="0"/>
        <w:ind w:left="640" w:hanging="640"/>
        <w:rPr>
          <w:rFonts w:cs="Times New Roman"/>
          <w:noProof/>
          <w:sz w:val="18"/>
          <w:szCs w:val="18"/>
        </w:rPr>
      </w:pPr>
    </w:p>
    <w:p w:rsidR="00D2105F" w:rsidRPr="00D2105F" w:rsidRDefault="00D2105F" w:rsidP="00E46489">
      <w:pPr>
        <w:autoSpaceDE w:val="0"/>
        <w:autoSpaceDN w:val="0"/>
        <w:adjustRightInd w:val="0"/>
        <w:ind w:left="640" w:hanging="640"/>
        <w:rPr>
          <w:rFonts w:cs="Times New Roman"/>
          <w:noProof/>
          <w:sz w:val="18"/>
          <w:szCs w:val="18"/>
        </w:rPr>
      </w:pPr>
      <w:r w:rsidRPr="00D2105F">
        <w:rPr>
          <w:rFonts w:cs="Times New Roman"/>
          <w:noProof/>
          <w:sz w:val="18"/>
          <w:szCs w:val="18"/>
        </w:rPr>
        <w:t>2- Abu El Maaty MA, Hassanein SI, Sleem HM, Gad MZ (2013) Effect</w:t>
      </w:r>
    </w:p>
    <w:p w:rsidR="00D2105F" w:rsidRPr="00D2105F" w:rsidRDefault="00D2105F" w:rsidP="00E46489">
      <w:pPr>
        <w:autoSpaceDE w:val="0"/>
        <w:autoSpaceDN w:val="0"/>
        <w:adjustRightInd w:val="0"/>
        <w:ind w:left="640" w:hanging="640"/>
        <w:rPr>
          <w:rFonts w:cs="Times New Roman"/>
          <w:noProof/>
          <w:sz w:val="18"/>
          <w:szCs w:val="18"/>
        </w:rPr>
      </w:pPr>
      <w:r w:rsidRPr="00D2105F">
        <w:rPr>
          <w:rFonts w:cs="Times New Roman"/>
          <w:noProof/>
          <w:sz w:val="18"/>
          <w:szCs w:val="18"/>
        </w:rPr>
        <w:t xml:space="preserve">     of polymorphisms in the NADSYN1/DHCR7 locus (rs12785878 and </w:t>
      </w:r>
    </w:p>
    <w:p w:rsidR="00D2105F" w:rsidRPr="00D2105F" w:rsidRDefault="00D2105F" w:rsidP="00E46489">
      <w:pPr>
        <w:autoSpaceDE w:val="0"/>
        <w:autoSpaceDN w:val="0"/>
        <w:adjustRightInd w:val="0"/>
        <w:rPr>
          <w:rFonts w:cs="Times New Roman"/>
          <w:noProof/>
          <w:sz w:val="18"/>
          <w:szCs w:val="18"/>
        </w:rPr>
      </w:pPr>
      <w:r w:rsidRPr="00D2105F">
        <w:rPr>
          <w:rFonts w:cs="Times New Roman"/>
          <w:noProof/>
          <w:sz w:val="18"/>
          <w:szCs w:val="18"/>
        </w:rPr>
        <w:t xml:space="preserve">     rs1790349) on plasma 25-hydroxyvitamin D levels </w:t>
      </w:r>
    </w:p>
    <w:p w:rsidR="00D2105F" w:rsidRPr="00D2105F" w:rsidRDefault="00D2105F" w:rsidP="00E46489">
      <w:pPr>
        <w:autoSpaceDE w:val="0"/>
        <w:autoSpaceDN w:val="0"/>
        <w:adjustRightInd w:val="0"/>
        <w:rPr>
          <w:rFonts w:cs="Times New Roman"/>
          <w:noProof/>
          <w:sz w:val="18"/>
          <w:szCs w:val="18"/>
        </w:rPr>
      </w:pPr>
      <w:r w:rsidRPr="00D2105F">
        <w:rPr>
          <w:rFonts w:cs="Times New Roman"/>
          <w:noProof/>
          <w:sz w:val="18"/>
          <w:szCs w:val="18"/>
        </w:rPr>
        <w:t xml:space="preserve">      and coronary artery disease incidence. J Nutrigenet </w:t>
      </w:r>
    </w:p>
    <w:p w:rsidR="00D2105F" w:rsidRDefault="00D2105F" w:rsidP="00E46489">
      <w:pPr>
        <w:autoSpaceDE w:val="0"/>
        <w:autoSpaceDN w:val="0"/>
        <w:adjustRightInd w:val="0"/>
        <w:rPr>
          <w:rFonts w:cs="Times New Roman"/>
          <w:noProof/>
          <w:sz w:val="18"/>
          <w:szCs w:val="18"/>
        </w:rPr>
      </w:pPr>
      <w:r w:rsidRPr="00D2105F">
        <w:rPr>
          <w:rFonts w:cs="Times New Roman"/>
          <w:noProof/>
          <w:sz w:val="18"/>
          <w:szCs w:val="18"/>
        </w:rPr>
        <w:t xml:space="preserve">      Nutrigenomics 6:327–335</w:t>
      </w:r>
    </w:p>
    <w:p w:rsidR="00E46489" w:rsidRPr="00D2105F" w:rsidRDefault="00E46489" w:rsidP="00E46489">
      <w:pPr>
        <w:autoSpaceDE w:val="0"/>
        <w:autoSpaceDN w:val="0"/>
        <w:adjustRightInd w:val="0"/>
        <w:rPr>
          <w:rFonts w:cs="Times New Roman"/>
          <w:noProof/>
          <w:sz w:val="18"/>
          <w:szCs w:val="18"/>
        </w:rPr>
      </w:pPr>
    </w:p>
    <w:p w:rsidR="002F23A3" w:rsidRDefault="00D2105F" w:rsidP="00E46489">
      <w:pPr>
        <w:autoSpaceDE w:val="0"/>
        <w:autoSpaceDN w:val="0"/>
        <w:adjustRightInd w:val="0"/>
        <w:ind w:left="640" w:hanging="640"/>
        <w:rPr>
          <w:rFonts w:cs="Times New Roman"/>
          <w:noProof/>
          <w:sz w:val="18"/>
          <w:szCs w:val="18"/>
        </w:rPr>
      </w:pPr>
      <w:r w:rsidRPr="002F23A3">
        <w:rPr>
          <w:rFonts w:cs="Times New Roman"/>
          <w:noProof/>
          <w:sz w:val="18"/>
          <w:szCs w:val="18"/>
        </w:rPr>
        <w:t xml:space="preserve">3- Abu el Maaty MA, Hassanein SI, Gad MZ (2016)   Genetic variation in </w:t>
      </w:r>
    </w:p>
    <w:p w:rsidR="00D2105F" w:rsidRPr="002F23A3" w:rsidRDefault="002F23A3" w:rsidP="00E46489">
      <w:pPr>
        <w:autoSpaceDE w:val="0"/>
        <w:autoSpaceDN w:val="0"/>
        <w:adjustRightInd w:val="0"/>
        <w:ind w:left="640" w:hanging="640"/>
        <w:rPr>
          <w:rFonts w:cs="Times New Roman"/>
          <w:noProof/>
          <w:sz w:val="18"/>
          <w:szCs w:val="18"/>
        </w:rPr>
      </w:pPr>
      <w:r>
        <w:rPr>
          <w:rFonts w:cs="Times New Roman"/>
          <w:noProof/>
          <w:sz w:val="18"/>
          <w:szCs w:val="18"/>
        </w:rPr>
        <w:t xml:space="preserve">     </w:t>
      </w:r>
      <w:r w:rsidR="00D2105F" w:rsidRPr="002F23A3">
        <w:rPr>
          <w:rFonts w:cs="Times New Roman"/>
          <w:noProof/>
          <w:sz w:val="18"/>
          <w:szCs w:val="18"/>
        </w:rPr>
        <w:t xml:space="preserve">vitamin D receptor gene (Fok1:rs2228570) is associated with risk of </w:t>
      </w:r>
    </w:p>
    <w:p w:rsidR="00D2105F" w:rsidRPr="002F23A3" w:rsidRDefault="00D2105F" w:rsidP="00E46489">
      <w:pPr>
        <w:autoSpaceDE w:val="0"/>
        <w:autoSpaceDN w:val="0"/>
        <w:adjustRightInd w:val="0"/>
        <w:ind w:left="640" w:hanging="640"/>
        <w:rPr>
          <w:rFonts w:cs="Times New Roman"/>
          <w:noProof/>
          <w:sz w:val="18"/>
          <w:szCs w:val="18"/>
        </w:rPr>
      </w:pPr>
      <w:r w:rsidRPr="002F23A3">
        <w:rPr>
          <w:rFonts w:cs="Times New Roman"/>
          <w:noProof/>
          <w:sz w:val="18"/>
          <w:szCs w:val="18"/>
        </w:rPr>
        <w:t xml:space="preserve">        coronary artery disease. Biomarkers 21:68–72</w:t>
      </w:r>
    </w:p>
    <w:p w:rsidR="00D2105F" w:rsidRDefault="002F23A3" w:rsidP="00E46489">
      <w:pPr>
        <w:autoSpaceDE w:val="0"/>
        <w:autoSpaceDN w:val="0"/>
        <w:adjustRightInd w:val="0"/>
        <w:spacing w:before="240"/>
        <w:ind w:left="640" w:hanging="640"/>
        <w:rPr>
          <w:rFonts w:cs="Times New Roman"/>
          <w:noProof/>
          <w:sz w:val="18"/>
          <w:szCs w:val="18"/>
        </w:rPr>
      </w:pPr>
      <w:r w:rsidRPr="002F23A3">
        <w:rPr>
          <w:rFonts w:cs="Times New Roman"/>
          <w:noProof/>
          <w:sz w:val="18"/>
          <w:szCs w:val="18"/>
        </w:rPr>
        <w:t>4-</w:t>
      </w:r>
      <w:r w:rsidR="00D2105F" w:rsidRPr="002F23A3">
        <w:rPr>
          <w:rFonts w:cs="Times New Roman"/>
          <w:noProof/>
          <w:sz w:val="18"/>
          <w:szCs w:val="18"/>
        </w:rPr>
        <w:t xml:space="preserve">Hassanein SI, Abu el Maaty MA, Sleem HM, Gad MZ (2014) Triangular </w:t>
      </w:r>
      <w:r>
        <w:rPr>
          <w:rFonts w:cs="Times New Roman"/>
          <w:noProof/>
          <w:sz w:val="18"/>
          <w:szCs w:val="18"/>
        </w:rPr>
        <w:t xml:space="preserve">  </w:t>
      </w:r>
      <w:r w:rsidR="00D2105F" w:rsidRPr="002F23A3">
        <w:rPr>
          <w:rFonts w:cs="Times New Roman"/>
          <w:noProof/>
          <w:sz w:val="18"/>
          <w:szCs w:val="18"/>
        </w:rPr>
        <w:t>relationship between single nucleotide polymorphisms in the CYP2R1 gene (rs10741657 and rs12794714), 25-hydroxyvitamin d levels, and coronary artery</w:t>
      </w:r>
      <w:r w:rsidR="00D2105F" w:rsidRPr="00F02108">
        <w:rPr>
          <w:rFonts w:ascii="Times New Roman" w:hAnsi="Times New Roman" w:cs="Times New Roman"/>
          <w:noProof/>
          <w:sz w:val="24"/>
          <w:szCs w:val="24"/>
        </w:rPr>
        <w:t xml:space="preserve"> </w:t>
      </w:r>
      <w:r w:rsidR="00D2105F" w:rsidRPr="002F23A3">
        <w:rPr>
          <w:rFonts w:cs="Times New Roman"/>
          <w:noProof/>
          <w:sz w:val="18"/>
          <w:szCs w:val="18"/>
        </w:rPr>
        <w:t>disease incidence. Biomarkers 19:488–492</w:t>
      </w:r>
    </w:p>
    <w:p w:rsidR="002F23A3" w:rsidRPr="0045029E" w:rsidRDefault="002F23A3" w:rsidP="00E46489">
      <w:pPr>
        <w:autoSpaceDE w:val="0"/>
        <w:autoSpaceDN w:val="0"/>
        <w:adjustRightInd w:val="0"/>
        <w:spacing w:before="240"/>
        <w:ind w:left="640" w:hanging="640"/>
        <w:rPr>
          <w:rFonts w:cs="Times New Roman"/>
          <w:noProof/>
          <w:sz w:val="18"/>
          <w:szCs w:val="18"/>
        </w:rPr>
      </w:pPr>
      <w:r w:rsidRPr="002F23A3">
        <w:rPr>
          <w:rFonts w:cs="Times New Roman"/>
          <w:noProof/>
          <w:sz w:val="18"/>
          <w:szCs w:val="18"/>
        </w:rPr>
        <w:t>5- Gad MZ, Hassanein SI, Abdel-Maksoud SM, Shaban GM, Abou-Aisha</w:t>
      </w:r>
      <w:r w:rsidR="00BB0940">
        <w:rPr>
          <w:rFonts w:cs="Times New Roman"/>
          <w:noProof/>
          <w:sz w:val="18"/>
          <w:szCs w:val="18"/>
        </w:rPr>
        <w:t xml:space="preserve">  </w:t>
      </w:r>
      <w:r w:rsidR="00A53B82">
        <w:rPr>
          <w:rFonts w:cs="Times New Roman"/>
          <w:noProof/>
          <w:sz w:val="18"/>
          <w:szCs w:val="18"/>
        </w:rPr>
        <w:t xml:space="preserve">k, </w:t>
      </w:r>
      <w:r w:rsidR="00BB0940">
        <w:rPr>
          <w:rFonts w:cs="Times New Roman"/>
          <w:noProof/>
          <w:sz w:val="18"/>
          <w:szCs w:val="18"/>
        </w:rPr>
        <w:t xml:space="preserve"> </w:t>
      </w:r>
      <w:r w:rsidRPr="0045029E">
        <w:rPr>
          <w:rFonts w:cs="Times New Roman"/>
          <w:noProof/>
          <w:sz w:val="18"/>
          <w:szCs w:val="18"/>
        </w:rPr>
        <w:t>asymmetric dimethylarginine, symmetric dimethylarginine and l -arginine in coronary artery disease. Biomarkers 15:746–752</w:t>
      </w:r>
    </w:p>
    <w:p w:rsidR="00AE3E37" w:rsidRDefault="00AE3E37" w:rsidP="00BB0940">
      <w:pPr>
        <w:spacing w:line="360" w:lineRule="auto"/>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E46489" w:rsidRDefault="00D62425">
      <w:pPr>
        <w:pStyle w:val="BodyText"/>
        <w:rPr>
          <w:rFonts w:ascii="Calibri"/>
          <w:sz w:val="20"/>
        </w:rPr>
      </w:pPr>
      <w:r>
        <w:rPr>
          <w:rFonts w:ascii="Calibri"/>
          <w:sz w:val="20"/>
        </w:rPr>
        <w:t xml:space="preserve">               </w:t>
      </w:r>
    </w:p>
    <w:p w:rsidR="00AE3E37" w:rsidRPr="00D62425" w:rsidRDefault="00D62425">
      <w:pPr>
        <w:pStyle w:val="BodyText"/>
        <w:rPr>
          <w:rFonts w:ascii="Calibri"/>
          <w:b/>
          <w:sz w:val="20"/>
        </w:rPr>
      </w:pPr>
      <w:r>
        <w:rPr>
          <w:rFonts w:ascii="Calibri"/>
          <w:sz w:val="20"/>
        </w:rPr>
        <w:lastRenderedPageBreak/>
        <w:t xml:space="preserve">  </w:t>
      </w:r>
      <w:r w:rsidRPr="00D62425">
        <w:rPr>
          <w:rFonts w:ascii="Calibri"/>
          <w:b/>
          <w:sz w:val="20"/>
        </w:rPr>
        <w:t>Photograph</w:t>
      </w: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2CA07D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BB0940">
        <w:rPr>
          <w:noProof/>
          <w:sz w:val="24"/>
          <w:szCs w:val="24"/>
        </w:rPr>
        <w:drawing>
          <wp:inline distT="0" distB="0" distL="0" distR="0" wp14:anchorId="35399A79" wp14:editId="7DE7DE5B">
            <wp:extent cx="475615" cy="514070"/>
            <wp:effectExtent l="0" t="0" r="635" b="635"/>
            <wp:docPr id="6" name="Picture 5" descr="945487_10152784667020591_128479853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45487_10152784667020591_1284798538_n.jpg"/>
                    <pic:cNvPicPr/>
                  </pic:nvPicPr>
                  <pic:blipFill>
                    <a:blip r:embed="rId12" cstate="print"/>
                    <a:stretch>
                      <a:fillRect/>
                    </a:stretch>
                  </pic:blipFill>
                  <pic:spPr>
                    <a:xfrm flipH="1">
                      <a:off x="0" y="0"/>
                      <a:ext cx="519213" cy="561193"/>
                    </a:xfrm>
                    <a:prstGeom prst="rect">
                      <a:avLst/>
                    </a:prstGeom>
                  </pic:spPr>
                </pic:pic>
              </a:graphicData>
            </a:graphic>
          </wp:inline>
        </w:drawing>
      </w:r>
      <w:r w:rsidR="00A9710C">
        <w:rPr>
          <w:rFonts w:ascii="Arial"/>
          <w:color w:val="BF5A14"/>
        </w:rPr>
        <w:t>Biograph</w:t>
      </w:r>
      <w:bookmarkStart w:id="0" w:name="_GoBack"/>
      <w:bookmarkEnd w:id="0"/>
      <w:r w:rsidR="00A9710C">
        <w:rPr>
          <w:rFonts w:ascii="Arial"/>
          <w:color w:val="BF5A14"/>
        </w:rPr>
        <w:t>y</w:t>
      </w:r>
      <w:r w:rsidR="002F23A3">
        <w:rPr>
          <w:rFonts w:ascii="Arial"/>
          <w:color w:val="BF5A14"/>
        </w:rPr>
        <w:t xml:space="preserve"> </w:t>
      </w:r>
    </w:p>
    <w:p w:rsidR="002F23A3" w:rsidRPr="002F23A3" w:rsidRDefault="002F23A3" w:rsidP="002F23A3">
      <w:pPr>
        <w:jc w:val="both"/>
        <w:rPr>
          <w:sz w:val="18"/>
          <w:szCs w:val="18"/>
        </w:rPr>
      </w:pPr>
      <w:r w:rsidRPr="002F23A3">
        <w:rPr>
          <w:sz w:val="18"/>
          <w:szCs w:val="18"/>
        </w:rPr>
        <w:t xml:space="preserve">I earned bachelor degree in pharmacy from </w:t>
      </w:r>
      <w:proofErr w:type="gramStart"/>
      <w:r w:rsidRPr="002F23A3">
        <w:rPr>
          <w:sz w:val="18"/>
          <w:szCs w:val="18"/>
        </w:rPr>
        <w:t>Pharmacy ,</w:t>
      </w:r>
      <w:proofErr w:type="gramEnd"/>
      <w:r w:rsidRPr="002F23A3">
        <w:rPr>
          <w:sz w:val="18"/>
          <w:szCs w:val="18"/>
        </w:rPr>
        <w:t xml:space="preserve"> Cairo </w:t>
      </w:r>
      <w:proofErr w:type="spellStart"/>
      <w:r w:rsidRPr="002F23A3">
        <w:rPr>
          <w:sz w:val="18"/>
          <w:szCs w:val="18"/>
        </w:rPr>
        <w:t>Univewrsity</w:t>
      </w:r>
      <w:proofErr w:type="spellEnd"/>
      <w:r w:rsidRPr="002F23A3">
        <w:rPr>
          <w:sz w:val="18"/>
          <w:szCs w:val="18"/>
        </w:rPr>
        <w:t xml:space="preserve"> , 1998. Then I worked as a Teacher Assistant in Biochemistry Department at the </w:t>
      </w:r>
      <w:proofErr w:type="spellStart"/>
      <w:r w:rsidRPr="002F23A3">
        <w:rPr>
          <w:sz w:val="18"/>
          <w:szCs w:val="18"/>
        </w:rPr>
        <w:t>Misr</w:t>
      </w:r>
      <w:proofErr w:type="spellEnd"/>
      <w:r w:rsidRPr="002F23A3">
        <w:rPr>
          <w:sz w:val="18"/>
          <w:szCs w:val="18"/>
        </w:rPr>
        <w:t xml:space="preserve"> International University, Egypt. I earned master’s level 2005-2006 2005-2006. Then I earned PhD degree, genetic polymorphisms, 2007-2010, German University Cairo (GUC). A part of PhD practical part, I earned DAAD short term stay scholarship DAAD in 2008 , Short at the University Medical Center Hamburg-Eppendorf </w:t>
      </w:r>
      <w:proofErr w:type="spellStart"/>
      <w:r w:rsidRPr="002F23A3">
        <w:rPr>
          <w:sz w:val="18"/>
          <w:szCs w:val="18"/>
        </w:rPr>
        <w:t>Universitätsklinikum</w:t>
      </w:r>
      <w:proofErr w:type="spellEnd"/>
      <w:r w:rsidRPr="002F23A3">
        <w:rPr>
          <w:sz w:val="18"/>
          <w:szCs w:val="18"/>
        </w:rPr>
        <w:t xml:space="preserve"> Hamburg-Eppendorf (UKE) (German) .Since 2011- present as a research fellow, Genetic polymorphisms in cardiovascular disease and vitamin D.</w:t>
      </w:r>
    </w:p>
    <w:p w:rsidR="00AE3E37" w:rsidRPr="002F23A3" w:rsidRDefault="002F23A3" w:rsidP="002F23A3">
      <w:pPr>
        <w:spacing w:before="62"/>
        <w:ind w:right="4235"/>
        <w:rPr>
          <w:rFonts w:ascii="Arial" w:hAnsi="Arial" w:cs="Arial"/>
          <w:sz w:val="16"/>
          <w:szCs w:val="16"/>
        </w:rPr>
      </w:pPr>
      <w:r>
        <w:rPr>
          <w:rFonts w:ascii="Arial" w:hAnsi="Arial" w:cs="Arial"/>
          <w:sz w:val="16"/>
          <w:szCs w:val="16"/>
        </w:rPr>
        <w:t xml:space="preserve">                                                                </w:t>
      </w:r>
      <w:proofErr w:type="spellStart"/>
      <w:r w:rsidR="00A9710C" w:rsidRPr="002F23A3">
        <w:rPr>
          <w:rFonts w:ascii="Arial" w:hAnsi="Arial" w:cs="Arial"/>
          <w:sz w:val="16"/>
          <w:szCs w:val="16"/>
        </w:rPr>
        <w:t>Email:</w:t>
      </w:r>
      <w:r w:rsidRPr="002F23A3">
        <w:rPr>
          <w:rFonts w:ascii="Arial" w:hAnsi="Arial" w:cs="Arial"/>
          <w:sz w:val="16"/>
          <w:szCs w:val="16"/>
        </w:rPr>
        <w:t>sally.ibrahim@guc.edu.eg</w:t>
      </w:r>
      <w:proofErr w:type="spellEnd"/>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7326A5"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108D" w:rsidRDefault="0073108D">
      <w:r>
        <w:separator/>
      </w:r>
    </w:p>
  </w:endnote>
  <w:endnote w:type="continuationSeparator" w:id="0">
    <w:p w:rsidR="0073108D" w:rsidRDefault="007310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108D" w:rsidRDefault="0073108D">
      <w:r>
        <w:separator/>
      </w:r>
    </w:p>
  </w:footnote>
  <w:footnote w:type="continuationSeparator" w:id="0">
    <w:p w:rsidR="0073108D" w:rsidRDefault="007310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E763C"/>
    <w:rsid w:val="00292ED9"/>
    <w:rsid w:val="002F23A3"/>
    <w:rsid w:val="00314AFB"/>
    <w:rsid w:val="00362024"/>
    <w:rsid w:val="003B76D9"/>
    <w:rsid w:val="00404E5B"/>
    <w:rsid w:val="00414F7B"/>
    <w:rsid w:val="004355DC"/>
    <w:rsid w:val="0045029E"/>
    <w:rsid w:val="004749B4"/>
    <w:rsid w:val="00494130"/>
    <w:rsid w:val="004F3523"/>
    <w:rsid w:val="005973B9"/>
    <w:rsid w:val="005B3A56"/>
    <w:rsid w:val="006060CE"/>
    <w:rsid w:val="0063497F"/>
    <w:rsid w:val="0073108D"/>
    <w:rsid w:val="0078738A"/>
    <w:rsid w:val="00873DF0"/>
    <w:rsid w:val="008756E6"/>
    <w:rsid w:val="00923439"/>
    <w:rsid w:val="009B2D44"/>
    <w:rsid w:val="00A07E82"/>
    <w:rsid w:val="00A53B82"/>
    <w:rsid w:val="00A9710C"/>
    <w:rsid w:val="00AE3E37"/>
    <w:rsid w:val="00B21A57"/>
    <w:rsid w:val="00BB0940"/>
    <w:rsid w:val="00C33602"/>
    <w:rsid w:val="00CD6F55"/>
    <w:rsid w:val="00D2105F"/>
    <w:rsid w:val="00D62425"/>
    <w:rsid w:val="00DE3104"/>
    <w:rsid w:val="00E46489"/>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5B0A4D"/>
  <w15:docId w15:val="{DFB7AC64-4829-4E83-9CA2-3795F9745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mmfarouk@msa.eun.e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ina.amir@student.guc.edu.eg" TargetMode="External"/><Relationship Id="rId12"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Mohamed.gad@guc.edu.e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708</Words>
  <Characters>4041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Sally Ibrahim</cp:lastModifiedBy>
  <cp:revision>6</cp:revision>
  <dcterms:created xsi:type="dcterms:W3CDTF">2019-07-07T15:08:00Z</dcterms:created>
  <dcterms:modified xsi:type="dcterms:W3CDTF">2019-07-08T14:23:00Z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