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F37" w:rsidRDefault="00112F37" w:rsidP="00112F37">
      <w:pPr>
        <w:spacing w:after="0" w:line="336" w:lineRule="atLeast"/>
        <w:textAlignment w:val="baseline"/>
        <w:rPr>
          <w:rFonts w:ascii="Times New Roman" w:eastAsia="Times New Roman" w:hAnsi="Times New Roman"/>
          <w:b/>
          <w:iCs/>
          <w:color w:val="000000"/>
          <w:sz w:val="24"/>
        </w:rPr>
      </w:pPr>
      <w:proofErr w:type="gramStart"/>
      <w:r>
        <w:rPr>
          <w:rFonts w:ascii="Times New Roman" w:eastAsia="Times New Roman" w:hAnsi="Times New Roman"/>
          <w:b/>
          <w:iCs/>
          <w:color w:val="000000"/>
          <w:sz w:val="24"/>
        </w:rPr>
        <w:t xml:space="preserve">Predicting the effect of </w:t>
      </w:r>
      <w:r w:rsidR="00686902">
        <w:rPr>
          <w:rFonts w:ascii="Times New Roman" w:eastAsia="Times New Roman" w:hAnsi="Times New Roman"/>
          <w:b/>
          <w:iCs/>
          <w:color w:val="000000"/>
          <w:sz w:val="24"/>
        </w:rPr>
        <w:t>counseling</w:t>
      </w:r>
      <w:r>
        <w:rPr>
          <w:rFonts w:ascii="Times New Roman" w:eastAsia="Times New Roman" w:hAnsi="Times New Roman"/>
          <w:b/>
          <w:iCs/>
          <w:color w:val="000000"/>
          <w:sz w:val="24"/>
        </w:rPr>
        <w:t xml:space="preserve"> by rheumatology specialist nurse for vaccination administration</w:t>
      </w:r>
      <w:r w:rsidR="00686902">
        <w:rPr>
          <w:rFonts w:ascii="Times New Roman" w:eastAsia="Times New Roman" w:hAnsi="Times New Roman"/>
          <w:b/>
          <w:iCs/>
          <w:color w:val="000000"/>
          <w:sz w:val="24"/>
        </w:rPr>
        <w:t>.</w:t>
      </w:r>
      <w:proofErr w:type="gramEnd"/>
    </w:p>
    <w:p w:rsidR="00686902" w:rsidRDefault="00686902" w:rsidP="00686902">
      <w:pPr>
        <w:spacing w:after="0" w:line="336" w:lineRule="atLeast"/>
        <w:textAlignment w:val="baseline"/>
        <w:rPr>
          <w:rFonts w:ascii="Times New Roman" w:eastAsia="Times New Roman" w:hAnsi="Times New Roman"/>
          <w:b/>
          <w:color w:val="000000"/>
          <w:sz w:val="36"/>
          <w:szCs w:val="29"/>
        </w:rPr>
      </w:pPr>
      <w:proofErr w:type="gramStart"/>
      <w:r>
        <w:rPr>
          <w:rFonts w:ascii="Times New Roman" w:eastAsia="Times New Roman" w:hAnsi="Times New Roman"/>
          <w:b/>
          <w:color w:val="000000"/>
          <w:vertAlign w:val="superscript"/>
        </w:rPr>
        <w:t>1</w:t>
      </w:r>
      <w:r>
        <w:rPr>
          <w:rFonts w:ascii="Times New Roman" w:eastAsia="Times New Roman" w:hAnsi="Times New Roman"/>
          <w:b/>
          <w:color w:val="000000"/>
        </w:rPr>
        <w:t xml:space="preserve">R.D. </w:t>
      </w:r>
      <w:proofErr w:type="spellStart"/>
      <w:r>
        <w:rPr>
          <w:rFonts w:ascii="Times New Roman" w:eastAsia="Times New Roman" w:hAnsi="Times New Roman"/>
          <w:b/>
          <w:color w:val="000000"/>
        </w:rPr>
        <w:t>Thakran</w:t>
      </w:r>
      <w:proofErr w:type="spellEnd"/>
      <w:r>
        <w:rPr>
          <w:rFonts w:ascii="Times New Roman" w:eastAsia="Times New Roman" w:hAnsi="Times New Roman"/>
          <w:b/>
          <w:color w:val="000000"/>
        </w:rPr>
        <w:t xml:space="preserve">, </w:t>
      </w:r>
      <w:r>
        <w:rPr>
          <w:rFonts w:ascii="Times New Roman" w:eastAsia="Times New Roman" w:hAnsi="Times New Roman"/>
          <w:b/>
          <w:color w:val="000000"/>
          <w:vertAlign w:val="superscript"/>
        </w:rPr>
        <w:t>1</w:t>
      </w:r>
      <w:r>
        <w:rPr>
          <w:rFonts w:ascii="Times New Roman" w:eastAsia="Times New Roman" w:hAnsi="Times New Roman"/>
          <w:b/>
          <w:color w:val="000000"/>
        </w:rPr>
        <w:t>C.</w:t>
      </w:r>
      <w:proofErr w:type="gramEnd"/>
      <w:r>
        <w:rPr>
          <w:rFonts w:ascii="Times New Roman" w:eastAsia="Times New Roman" w:hAnsi="Times New Roman"/>
          <w:b/>
          <w:color w:val="000000"/>
        </w:rPr>
        <w:t xml:space="preserve"> </w:t>
      </w:r>
      <w:proofErr w:type="spellStart"/>
      <w:r>
        <w:rPr>
          <w:rFonts w:ascii="Times New Roman" w:eastAsia="Times New Roman" w:hAnsi="Times New Roman"/>
          <w:b/>
          <w:color w:val="000000"/>
        </w:rPr>
        <w:t>Messi</w:t>
      </w:r>
      <w:proofErr w:type="spellEnd"/>
      <w:r>
        <w:rPr>
          <w:rFonts w:ascii="Times New Roman" w:eastAsia="Times New Roman" w:hAnsi="Times New Roman"/>
          <w:b/>
          <w:color w:val="000000"/>
        </w:rPr>
        <w:t xml:space="preserve">, </w:t>
      </w:r>
      <w:r>
        <w:rPr>
          <w:rFonts w:ascii="Times New Roman" w:eastAsia="Times New Roman" w:hAnsi="Times New Roman"/>
          <w:b/>
          <w:color w:val="000000"/>
          <w:vertAlign w:val="superscript"/>
        </w:rPr>
        <w:t>2</w:t>
      </w:r>
      <w:r>
        <w:rPr>
          <w:rFonts w:ascii="Times New Roman" w:eastAsia="Times New Roman" w:hAnsi="Times New Roman"/>
          <w:b/>
          <w:color w:val="000000"/>
        </w:rPr>
        <w:t xml:space="preserve">S.S. </w:t>
      </w:r>
      <w:proofErr w:type="spellStart"/>
      <w:r>
        <w:rPr>
          <w:rFonts w:ascii="Times New Roman" w:eastAsia="Times New Roman" w:hAnsi="Times New Roman"/>
          <w:b/>
          <w:color w:val="000000"/>
        </w:rPr>
        <w:t>Baghel</w:t>
      </w:r>
      <w:proofErr w:type="spellEnd"/>
      <w:r>
        <w:rPr>
          <w:rFonts w:ascii="Times New Roman" w:eastAsia="Times New Roman" w:hAnsi="Times New Roman"/>
          <w:b/>
          <w:color w:val="000000"/>
        </w:rPr>
        <w:t xml:space="preserve">, </w:t>
      </w:r>
      <w:r w:rsidR="00B518AD">
        <w:rPr>
          <w:rFonts w:ascii="Times New Roman" w:eastAsia="Times New Roman" w:hAnsi="Times New Roman"/>
          <w:b/>
          <w:color w:val="000000"/>
        </w:rPr>
        <w:t>3</w:t>
      </w:r>
      <w:r>
        <w:rPr>
          <w:rFonts w:ascii="Times New Roman" w:eastAsia="Times New Roman" w:hAnsi="Times New Roman"/>
          <w:b/>
          <w:color w:val="000000"/>
        </w:rPr>
        <w:t xml:space="preserve"> </w:t>
      </w:r>
      <w:proofErr w:type="spellStart"/>
      <w:r>
        <w:rPr>
          <w:rFonts w:ascii="Times New Roman" w:eastAsia="Times New Roman" w:hAnsi="Times New Roman"/>
          <w:b/>
          <w:color w:val="000000"/>
        </w:rPr>
        <w:t>Himanshu</w:t>
      </w:r>
      <w:proofErr w:type="spellEnd"/>
      <w:r>
        <w:rPr>
          <w:rFonts w:ascii="Times New Roman" w:eastAsia="Times New Roman" w:hAnsi="Times New Roman"/>
          <w:b/>
          <w:color w:val="000000"/>
        </w:rPr>
        <w:t xml:space="preserve"> </w:t>
      </w:r>
      <w:proofErr w:type="spellStart"/>
      <w:r>
        <w:rPr>
          <w:rFonts w:ascii="Times New Roman" w:eastAsia="Times New Roman" w:hAnsi="Times New Roman"/>
          <w:b/>
          <w:color w:val="000000"/>
        </w:rPr>
        <w:t>negi</w:t>
      </w:r>
      <w:proofErr w:type="spellEnd"/>
      <w:r>
        <w:rPr>
          <w:rFonts w:ascii="Times New Roman" w:eastAsia="Times New Roman" w:hAnsi="Times New Roman"/>
          <w:b/>
          <w:color w:val="000000"/>
        </w:rPr>
        <w:t xml:space="preserve">, </w:t>
      </w:r>
      <w:r w:rsidR="00B518AD">
        <w:rPr>
          <w:rFonts w:ascii="Times New Roman" w:eastAsia="Times New Roman" w:hAnsi="Times New Roman"/>
          <w:b/>
          <w:color w:val="000000"/>
          <w:vertAlign w:val="superscript"/>
        </w:rPr>
        <w:t>4</w:t>
      </w:r>
      <w:r>
        <w:rPr>
          <w:rFonts w:ascii="Times New Roman" w:eastAsia="Times New Roman" w:hAnsi="Times New Roman"/>
          <w:b/>
          <w:color w:val="000000"/>
        </w:rPr>
        <w:t xml:space="preserve">S. </w:t>
      </w:r>
      <w:proofErr w:type="spellStart"/>
      <w:r>
        <w:rPr>
          <w:rFonts w:ascii="Times New Roman" w:eastAsia="Times New Roman" w:hAnsi="Times New Roman"/>
          <w:b/>
          <w:color w:val="000000"/>
        </w:rPr>
        <w:t>Kapoor</w:t>
      </w:r>
      <w:proofErr w:type="spellEnd"/>
      <w:r>
        <w:rPr>
          <w:rFonts w:ascii="Times New Roman" w:eastAsia="Times New Roman" w:hAnsi="Times New Roman"/>
          <w:b/>
          <w:color w:val="000000"/>
        </w:rPr>
        <w:t xml:space="preserve">, </w:t>
      </w:r>
      <w:r w:rsidR="00B518AD">
        <w:rPr>
          <w:rFonts w:ascii="Times New Roman" w:eastAsia="Times New Roman" w:hAnsi="Times New Roman"/>
          <w:b/>
          <w:color w:val="000000"/>
          <w:vertAlign w:val="superscript"/>
        </w:rPr>
        <w:t>5</w:t>
      </w:r>
      <w:r>
        <w:rPr>
          <w:rFonts w:ascii="Times New Roman" w:eastAsia="Times New Roman" w:hAnsi="Times New Roman"/>
          <w:b/>
          <w:color w:val="000000"/>
        </w:rPr>
        <w:t xml:space="preserve">S. </w:t>
      </w:r>
      <w:proofErr w:type="spellStart"/>
      <w:r>
        <w:rPr>
          <w:rFonts w:ascii="Times New Roman" w:eastAsia="Times New Roman" w:hAnsi="Times New Roman"/>
          <w:b/>
          <w:color w:val="000000"/>
        </w:rPr>
        <w:t>Garg</w:t>
      </w:r>
      <w:proofErr w:type="spellEnd"/>
      <w:r>
        <w:rPr>
          <w:rFonts w:ascii="Times New Roman" w:eastAsia="Times New Roman" w:hAnsi="Times New Roman"/>
          <w:b/>
          <w:color w:val="000000"/>
        </w:rPr>
        <w:t xml:space="preserve">, </w:t>
      </w:r>
      <w:r w:rsidR="00B518AD">
        <w:rPr>
          <w:rFonts w:ascii="Times New Roman" w:eastAsia="Times New Roman" w:hAnsi="Times New Roman"/>
          <w:b/>
          <w:color w:val="000000"/>
        </w:rPr>
        <w:t>6</w:t>
      </w:r>
      <w:r w:rsidR="00E708E0">
        <w:rPr>
          <w:rFonts w:ascii="Times New Roman" w:eastAsia="Times New Roman" w:hAnsi="Times New Roman"/>
          <w:b/>
          <w:color w:val="000000"/>
        </w:rPr>
        <w:t xml:space="preserve">A.N. </w:t>
      </w:r>
      <w:proofErr w:type="spellStart"/>
      <w:r w:rsidR="00E708E0">
        <w:rPr>
          <w:rFonts w:ascii="Times New Roman" w:eastAsia="Times New Roman" w:hAnsi="Times New Roman"/>
          <w:b/>
          <w:color w:val="000000"/>
        </w:rPr>
        <w:t>Malaviya</w:t>
      </w:r>
      <w:proofErr w:type="spellEnd"/>
      <w:r w:rsidR="00E708E0">
        <w:rPr>
          <w:rFonts w:ascii="Times New Roman" w:eastAsia="Times New Roman" w:hAnsi="Times New Roman"/>
          <w:b/>
          <w:color w:val="000000"/>
        </w:rPr>
        <w:t xml:space="preserve">. </w:t>
      </w:r>
      <w:r>
        <w:rPr>
          <w:rFonts w:ascii="Times New Roman" w:eastAsia="Times New Roman" w:hAnsi="Times New Roman"/>
          <w:b/>
          <w:color w:val="000000"/>
        </w:rPr>
        <w:t>Rheumatology, Indian Spinal Injuries Centre, New Delhi, India</w:t>
      </w:r>
    </w:p>
    <w:p w:rsidR="00686902" w:rsidRDefault="00686902" w:rsidP="00686902">
      <w:pPr>
        <w:rPr>
          <w:rFonts w:ascii="Times New Roman" w:eastAsia="Times New Roman" w:hAnsi="Times New Roman"/>
          <w:b/>
          <w:bCs/>
          <w:color w:val="333333"/>
          <w:kern w:val="36"/>
          <w:sz w:val="20"/>
          <w:szCs w:val="20"/>
        </w:rPr>
      </w:pPr>
    </w:p>
    <w:p w:rsidR="00686902" w:rsidRDefault="00112F37" w:rsidP="00686902">
      <w:pPr>
        <w:rPr>
          <w:rFonts w:ascii="Times New Roman" w:hAnsi="Times New Roman"/>
        </w:rPr>
      </w:pPr>
      <w:r>
        <w:rPr>
          <w:rFonts w:ascii="Times New Roman" w:hAnsi="Times New Roman"/>
          <w:b/>
        </w:rPr>
        <w:t>Statement of the Problem-</w:t>
      </w:r>
      <w:r>
        <w:rPr>
          <w:rFonts w:ascii="Times New Roman" w:hAnsi="Times New Roman"/>
        </w:rPr>
        <w:t xml:space="preserve"> The infection rate in autoimmune rheumatic diseases (AIRDs) is 2 fold higher as compared to general population. It’s increased up to 4 fold if patient on long term </w:t>
      </w:r>
      <w:proofErr w:type="spellStart"/>
      <w:r>
        <w:rPr>
          <w:rFonts w:ascii="Times New Roman" w:hAnsi="Times New Roman"/>
        </w:rPr>
        <w:t>glucocorticoids</w:t>
      </w:r>
      <w:proofErr w:type="spellEnd"/>
    </w:p>
    <w:p w:rsidR="00686902" w:rsidRDefault="00112F37" w:rsidP="00686902">
      <w:pPr>
        <w:rPr>
          <w:rFonts w:ascii="Times New Roman" w:hAnsi="Times New Roman"/>
        </w:rPr>
      </w:pPr>
      <w:proofErr w:type="gramStart"/>
      <w:r>
        <w:rPr>
          <w:rFonts w:ascii="Times New Roman" w:hAnsi="Times New Roman"/>
          <w:b/>
        </w:rPr>
        <w:t>Objective</w:t>
      </w:r>
      <w:r w:rsidR="00686902">
        <w:rPr>
          <w:rFonts w:ascii="Times New Roman" w:hAnsi="Times New Roman"/>
          <w:b/>
        </w:rPr>
        <w:t xml:space="preserve">- </w:t>
      </w:r>
      <w:r w:rsidR="00686902" w:rsidRPr="00686902">
        <w:rPr>
          <w:rFonts w:ascii="Times New Roman" w:hAnsi="Times New Roman"/>
        </w:rPr>
        <w:t>To</w:t>
      </w:r>
      <w:r>
        <w:rPr>
          <w:rFonts w:ascii="Times New Roman" w:hAnsi="Times New Roman"/>
        </w:rPr>
        <w:t xml:space="preserve"> check the outcome of </w:t>
      </w:r>
      <w:r w:rsidR="00686902">
        <w:rPr>
          <w:rFonts w:ascii="Times New Roman" w:hAnsi="Times New Roman"/>
        </w:rPr>
        <w:t>counseling</w:t>
      </w:r>
      <w:r>
        <w:rPr>
          <w:rFonts w:ascii="Times New Roman" w:hAnsi="Times New Roman"/>
        </w:rPr>
        <w:t xml:space="preserve"> done by the specialist </w:t>
      </w:r>
      <w:r w:rsidR="00B518AD">
        <w:rPr>
          <w:rFonts w:ascii="Times New Roman" w:hAnsi="Times New Roman"/>
        </w:rPr>
        <w:t xml:space="preserve">rheumatology nurse regarding   </w:t>
      </w:r>
      <w:r>
        <w:rPr>
          <w:rFonts w:ascii="Times New Roman" w:hAnsi="Times New Roman"/>
        </w:rPr>
        <w:t>vaccination among rheumatic patients.</w:t>
      </w:r>
      <w:proofErr w:type="gramEnd"/>
    </w:p>
    <w:p w:rsidR="00112F37" w:rsidRPr="00686902" w:rsidRDefault="00112F37" w:rsidP="00686902">
      <w:pPr>
        <w:rPr>
          <w:rFonts w:ascii="Times New Roman" w:hAnsi="Times New Roman"/>
          <w:b/>
        </w:rPr>
      </w:pPr>
      <w:r>
        <w:rPr>
          <w:rFonts w:ascii="Times New Roman" w:hAnsi="Times New Roman"/>
          <w:b/>
        </w:rPr>
        <w:t>Method</w:t>
      </w:r>
      <w:r w:rsidR="00686902">
        <w:rPr>
          <w:rFonts w:ascii="Times New Roman" w:hAnsi="Times New Roman"/>
          <w:b/>
        </w:rPr>
        <w:t>ology</w:t>
      </w:r>
      <w:r>
        <w:rPr>
          <w:rFonts w:ascii="Times New Roman" w:hAnsi="Times New Roman"/>
          <w:b/>
        </w:rPr>
        <w:t>-</w:t>
      </w:r>
      <w:r>
        <w:rPr>
          <w:rFonts w:ascii="Times New Roman" w:hAnsi="Times New Roman"/>
        </w:rPr>
        <w:t>The</w:t>
      </w:r>
      <w:r>
        <w:rPr>
          <w:rFonts w:ascii="Times New Roman" w:hAnsi="Times New Roman"/>
          <w:b/>
        </w:rPr>
        <w:t xml:space="preserve"> </w:t>
      </w:r>
      <w:r>
        <w:rPr>
          <w:rFonts w:ascii="Times New Roman" w:hAnsi="Times New Roman"/>
        </w:rPr>
        <w:t>retrospective study enrolled total 506 patients who were advised vaccination (pneumococcal, influenza.) by rheumatologist. They were interviewed about demographic information (age,</w:t>
      </w:r>
      <w:r w:rsidR="00F51624">
        <w:rPr>
          <w:rFonts w:ascii="Times New Roman" w:hAnsi="Times New Roman"/>
        </w:rPr>
        <w:t xml:space="preserve"> gender, and disease duration)C</w:t>
      </w:r>
      <w:r>
        <w:rPr>
          <w:rFonts w:ascii="Times New Roman" w:hAnsi="Times New Roman"/>
        </w:rPr>
        <w:t xml:space="preserve">ounseling done about the importance of vaccination, clarifying their doubts, need of immunization for maintain good health done by the specialist rheumatologist nurse. </w:t>
      </w:r>
      <w:proofErr w:type="gramStart"/>
      <w:r>
        <w:rPr>
          <w:rFonts w:ascii="Times New Roman" w:hAnsi="Times New Roman"/>
        </w:rPr>
        <w:t>Various other aspects including availability of vaccines in hospital pharmacy, administration of vaccine also done.</w:t>
      </w:r>
      <w:proofErr w:type="gramEnd"/>
      <w:r>
        <w:rPr>
          <w:rFonts w:ascii="Times New Roman" w:hAnsi="Times New Roman"/>
        </w:rPr>
        <w:t xml:space="preserve"> Data were analyzed statically with appropriate tests.</w:t>
      </w:r>
    </w:p>
    <w:p w:rsidR="00112F37" w:rsidRDefault="00F51624" w:rsidP="00112F37">
      <w:pPr>
        <w:autoSpaceDE w:val="0"/>
        <w:autoSpaceDN w:val="0"/>
        <w:adjustRightInd w:val="0"/>
        <w:spacing w:after="0" w:line="240" w:lineRule="auto"/>
        <w:rPr>
          <w:rFonts w:ascii="Times New Roman" w:hAnsi="Times New Roman"/>
          <w:b/>
          <w:bCs/>
          <w:color w:val="000000"/>
          <w:sz w:val="24"/>
          <w:szCs w:val="24"/>
          <w:shd w:val="clear" w:color="auto" w:fill="FFFFFF"/>
        </w:rPr>
      </w:pPr>
      <w:r>
        <w:rPr>
          <w:rFonts w:ascii="Times New Roman" w:hAnsi="Times New Roman"/>
          <w:b/>
          <w:sz w:val="24"/>
          <w:szCs w:val="24"/>
        </w:rPr>
        <w:t>Findings</w:t>
      </w:r>
      <w:r w:rsidR="00112F37">
        <w:rPr>
          <w:rFonts w:ascii="Times New Roman" w:hAnsi="Times New Roman"/>
          <w:b/>
          <w:bCs/>
          <w:color w:val="000000"/>
          <w:sz w:val="24"/>
          <w:szCs w:val="24"/>
          <w:shd w:val="clear" w:color="auto" w:fill="FFFFFF"/>
        </w:rPr>
        <w:t>:</w:t>
      </w:r>
      <w:r w:rsidR="00112F37">
        <w:rPr>
          <w:rFonts w:ascii="Times New Roman" w:hAnsi="Times New Roman"/>
          <w:color w:val="333333"/>
          <w:sz w:val="24"/>
          <w:szCs w:val="24"/>
        </w:rPr>
        <w:t> </w:t>
      </w:r>
      <w:r w:rsidR="00112F37">
        <w:rPr>
          <w:rFonts w:ascii="Times New Roman" w:hAnsi="Times New Roman"/>
          <w:sz w:val="24"/>
          <w:szCs w:val="24"/>
        </w:rPr>
        <w:t>A total of 506 patients</w:t>
      </w:r>
    </w:p>
    <w:p w:rsidR="00686902" w:rsidRDefault="00686902" w:rsidP="00686902">
      <w:pPr>
        <w:autoSpaceDE w:val="0"/>
        <w:autoSpaceDN w:val="0"/>
        <w:adjustRightInd w:val="0"/>
        <w:spacing w:after="0" w:line="240" w:lineRule="auto"/>
        <w:rPr>
          <w:rFonts w:ascii="Times New Roman" w:hAnsi="Times New Roman"/>
          <w:b/>
        </w:rPr>
      </w:pPr>
      <w:r>
        <w:rPr>
          <w:rFonts w:ascii="Times New Roman" w:hAnsi="Times New Roman"/>
          <w:b/>
        </w:rPr>
        <w:t>Number of patients advised vaccination:</w:t>
      </w:r>
    </w:p>
    <w:p w:rsidR="00686902" w:rsidRDefault="00686902" w:rsidP="00686902">
      <w:pPr>
        <w:autoSpaceDE w:val="0"/>
        <w:autoSpaceDN w:val="0"/>
        <w:adjustRightInd w:val="0"/>
        <w:spacing w:after="0" w:line="240" w:lineRule="auto"/>
        <w:rPr>
          <w:rFonts w:ascii="Times New Roman" w:hAnsi="Times New Roman"/>
          <w:b/>
        </w:rPr>
      </w:pPr>
    </w:p>
    <w:tbl>
      <w:tblPr>
        <w:tblW w:w="0" w:type="auto"/>
        <w:tblInd w:w="93" w:type="dxa"/>
        <w:tblLayout w:type="fixed"/>
        <w:tblLook w:val="0000"/>
      </w:tblPr>
      <w:tblGrid>
        <w:gridCol w:w="1366"/>
        <w:gridCol w:w="1149"/>
        <w:gridCol w:w="1237"/>
        <w:gridCol w:w="1071"/>
        <w:gridCol w:w="1314"/>
        <w:gridCol w:w="1621"/>
      </w:tblGrid>
      <w:tr w:rsidR="00686902" w:rsidTr="00204B16">
        <w:tblPrEx>
          <w:tblCellMar>
            <w:top w:w="0" w:type="dxa"/>
            <w:bottom w:w="0" w:type="dxa"/>
          </w:tblCellMar>
        </w:tblPrEx>
        <w:trPr>
          <w:trHeight w:val="492"/>
        </w:trPr>
        <w:tc>
          <w:tcPr>
            <w:tcW w:w="1366" w:type="dxa"/>
            <w:tcBorders>
              <w:top w:val="single" w:sz="4" w:space="0" w:color="auto"/>
              <w:left w:val="single" w:sz="4" w:space="0" w:color="auto"/>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b/>
                <w:bCs/>
                <w:color w:val="000000"/>
                <w:sz w:val="18"/>
                <w:szCs w:val="24"/>
              </w:rPr>
            </w:pPr>
            <w:r>
              <w:rPr>
                <w:rFonts w:ascii="Times New Roman" w:eastAsia="Times New Roman" w:hAnsi="Times New Roman"/>
                <w:b/>
                <w:bCs/>
                <w:color w:val="000000"/>
                <w:sz w:val="18"/>
                <w:szCs w:val="24"/>
              </w:rPr>
              <w:t>Vaccine</w:t>
            </w:r>
          </w:p>
          <w:p w:rsidR="00686902" w:rsidRDefault="00686902" w:rsidP="00204B16">
            <w:pPr>
              <w:spacing w:after="0" w:line="240" w:lineRule="auto"/>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24"/>
              </w:rPr>
              <w:t>Name</w:t>
            </w:r>
          </w:p>
        </w:tc>
        <w:tc>
          <w:tcPr>
            <w:tcW w:w="1149" w:type="dxa"/>
            <w:tcBorders>
              <w:top w:val="single" w:sz="8" w:space="0" w:color="auto"/>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24"/>
              </w:rPr>
              <w:t>Patient Advised</w:t>
            </w:r>
          </w:p>
        </w:tc>
        <w:tc>
          <w:tcPr>
            <w:tcW w:w="1237" w:type="dxa"/>
            <w:tcBorders>
              <w:top w:val="single" w:sz="8" w:space="0" w:color="auto"/>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24"/>
              </w:rPr>
              <w:t>Taken(Total)</w:t>
            </w:r>
          </w:p>
        </w:tc>
        <w:tc>
          <w:tcPr>
            <w:tcW w:w="1071" w:type="dxa"/>
            <w:tcBorders>
              <w:top w:val="single" w:sz="8" w:space="0" w:color="auto"/>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24"/>
              </w:rPr>
              <w:t>Not taken</w:t>
            </w:r>
          </w:p>
        </w:tc>
        <w:tc>
          <w:tcPr>
            <w:tcW w:w="1314" w:type="dxa"/>
            <w:tcBorders>
              <w:top w:val="single" w:sz="8" w:space="0" w:color="auto"/>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24"/>
              </w:rPr>
              <w:t>Same day taken</w:t>
            </w:r>
          </w:p>
        </w:tc>
        <w:tc>
          <w:tcPr>
            <w:tcW w:w="1621" w:type="dxa"/>
            <w:tcBorders>
              <w:top w:val="single" w:sz="8" w:space="0" w:color="auto"/>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24"/>
              </w:rPr>
              <w:t>Taken within 3 months</w:t>
            </w:r>
          </w:p>
        </w:tc>
      </w:tr>
      <w:tr w:rsidR="00686902" w:rsidTr="00204B16">
        <w:tblPrEx>
          <w:tblCellMar>
            <w:top w:w="0" w:type="dxa"/>
            <w:bottom w:w="0" w:type="dxa"/>
          </w:tblCellMar>
        </w:tblPrEx>
        <w:trPr>
          <w:trHeight w:val="288"/>
        </w:trPr>
        <w:tc>
          <w:tcPr>
            <w:tcW w:w="1366" w:type="dxa"/>
            <w:tcBorders>
              <w:top w:val="nil"/>
              <w:left w:val="single" w:sz="8" w:space="0" w:color="auto"/>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b/>
                <w:bCs/>
                <w:color w:val="000000"/>
                <w:sz w:val="18"/>
                <w:szCs w:val="18"/>
              </w:rPr>
            </w:pPr>
            <w:proofErr w:type="spellStart"/>
            <w:r>
              <w:rPr>
                <w:rFonts w:ascii="Times New Roman" w:eastAsia="Times New Roman" w:hAnsi="Times New Roman"/>
                <w:b/>
                <w:bCs/>
                <w:color w:val="000000"/>
                <w:sz w:val="18"/>
                <w:szCs w:val="24"/>
              </w:rPr>
              <w:t>Influvac</w:t>
            </w:r>
            <w:proofErr w:type="spellEnd"/>
          </w:p>
        </w:tc>
        <w:tc>
          <w:tcPr>
            <w:tcW w:w="1149" w:type="dxa"/>
            <w:tcBorders>
              <w:top w:val="nil"/>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506</w:t>
            </w:r>
          </w:p>
        </w:tc>
        <w:tc>
          <w:tcPr>
            <w:tcW w:w="1237" w:type="dxa"/>
            <w:tcBorders>
              <w:top w:val="nil"/>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443 (87.5%)</w:t>
            </w:r>
          </w:p>
        </w:tc>
        <w:tc>
          <w:tcPr>
            <w:tcW w:w="1071" w:type="dxa"/>
            <w:tcBorders>
              <w:top w:val="nil"/>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63 (12.5%)</w:t>
            </w:r>
          </w:p>
        </w:tc>
        <w:tc>
          <w:tcPr>
            <w:tcW w:w="1314" w:type="dxa"/>
            <w:tcBorders>
              <w:top w:val="nil"/>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90 (74.4%)</w:t>
            </w:r>
          </w:p>
        </w:tc>
        <w:tc>
          <w:tcPr>
            <w:tcW w:w="1621" w:type="dxa"/>
            <w:tcBorders>
              <w:top w:val="nil"/>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13 (10.7%)</w:t>
            </w:r>
          </w:p>
        </w:tc>
      </w:tr>
      <w:tr w:rsidR="00686902" w:rsidTr="00204B16">
        <w:tblPrEx>
          <w:tblCellMar>
            <w:top w:w="0" w:type="dxa"/>
            <w:bottom w:w="0" w:type="dxa"/>
          </w:tblCellMar>
        </w:tblPrEx>
        <w:trPr>
          <w:trHeight w:val="288"/>
        </w:trPr>
        <w:tc>
          <w:tcPr>
            <w:tcW w:w="1366" w:type="dxa"/>
            <w:tcBorders>
              <w:top w:val="nil"/>
              <w:left w:val="single" w:sz="8" w:space="0" w:color="auto"/>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b/>
                <w:bCs/>
                <w:color w:val="000000"/>
                <w:sz w:val="18"/>
                <w:szCs w:val="18"/>
              </w:rPr>
            </w:pPr>
            <w:proofErr w:type="spellStart"/>
            <w:r>
              <w:rPr>
                <w:rFonts w:ascii="Times New Roman" w:eastAsia="Times New Roman" w:hAnsi="Times New Roman"/>
                <w:b/>
                <w:bCs/>
                <w:color w:val="000000"/>
                <w:sz w:val="18"/>
                <w:szCs w:val="24"/>
              </w:rPr>
              <w:t>Pneumovac</w:t>
            </w:r>
            <w:proofErr w:type="spellEnd"/>
            <w:r>
              <w:rPr>
                <w:rFonts w:ascii="Times New Roman" w:eastAsia="Times New Roman" w:hAnsi="Times New Roman"/>
                <w:b/>
                <w:bCs/>
                <w:color w:val="000000"/>
                <w:sz w:val="18"/>
                <w:szCs w:val="24"/>
              </w:rPr>
              <w:t xml:space="preserve"> 23</w:t>
            </w:r>
          </w:p>
        </w:tc>
        <w:tc>
          <w:tcPr>
            <w:tcW w:w="1149" w:type="dxa"/>
            <w:tcBorders>
              <w:top w:val="nil"/>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506</w:t>
            </w:r>
          </w:p>
        </w:tc>
        <w:tc>
          <w:tcPr>
            <w:tcW w:w="1237" w:type="dxa"/>
            <w:tcBorders>
              <w:top w:val="nil"/>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456 (90.1%)</w:t>
            </w:r>
          </w:p>
        </w:tc>
        <w:tc>
          <w:tcPr>
            <w:tcW w:w="1071" w:type="dxa"/>
            <w:tcBorders>
              <w:top w:val="nil"/>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50 (9.9%)</w:t>
            </w:r>
          </w:p>
        </w:tc>
        <w:tc>
          <w:tcPr>
            <w:tcW w:w="1314" w:type="dxa"/>
            <w:tcBorders>
              <w:top w:val="nil"/>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306 (67.1%)</w:t>
            </w:r>
          </w:p>
        </w:tc>
        <w:tc>
          <w:tcPr>
            <w:tcW w:w="1621" w:type="dxa"/>
            <w:tcBorders>
              <w:top w:val="nil"/>
              <w:left w:val="nil"/>
              <w:bottom w:val="single" w:sz="4"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103 (22.5%)</w:t>
            </w:r>
          </w:p>
        </w:tc>
      </w:tr>
      <w:tr w:rsidR="00686902" w:rsidTr="00204B16">
        <w:tblPrEx>
          <w:tblCellMar>
            <w:top w:w="0" w:type="dxa"/>
            <w:bottom w:w="0" w:type="dxa"/>
          </w:tblCellMar>
        </w:tblPrEx>
        <w:trPr>
          <w:trHeight w:val="300"/>
        </w:trPr>
        <w:tc>
          <w:tcPr>
            <w:tcW w:w="1366" w:type="dxa"/>
            <w:tcBorders>
              <w:top w:val="nil"/>
              <w:left w:val="single" w:sz="8" w:space="0" w:color="auto"/>
              <w:bottom w:val="single" w:sz="8"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b/>
                <w:bCs/>
                <w:color w:val="000000"/>
                <w:sz w:val="18"/>
                <w:szCs w:val="18"/>
              </w:rPr>
            </w:pPr>
            <w:proofErr w:type="spellStart"/>
            <w:r>
              <w:rPr>
                <w:rFonts w:ascii="Times New Roman" w:eastAsia="Times New Roman" w:hAnsi="Times New Roman"/>
                <w:b/>
                <w:bCs/>
                <w:color w:val="000000"/>
                <w:sz w:val="18"/>
                <w:szCs w:val="24"/>
              </w:rPr>
              <w:t>Prevnar</w:t>
            </w:r>
            <w:proofErr w:type="spellEnd"/>
            <w:r>
              <w:rPr>
                <w:rFonts w:ascii="Times New Roman" w:eastAsia="Times New Roman" w:hAnsi="Times New Roman"/>
                <w:b/>
                <w:bCs/>
                <w:color w:val="000000"/>
                <w:sz w:val="18"/>
                <w:szCs w:val="24"/>
              </w:rPr>
              <w:t xml:space="preserve"> 13</w:t>
            </w:r>
          </w:p>
        </w:tc>
        <w:tc>
          <w:tcPr>
            <w:tcW w:w="1149" w:type="dxa"/>
            <w:tcBorders>
              <w:top w:val="nil"/>
              <w:left w:val="nil"/>
              <w:bottom w:val="single" w:sz="8"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244</w:t>
            </w:r>
          </w:p>
        </w:tc>
        <w:tc>
          <w:tcPr>
            <w:tcW w:w="1237" w:type="dxa"/>
            <w:tcBorders>
              <w:top w:val="nil"/>
              <w:left w:val="nil"/>
              <w:bottom w:val="single" w:sz="8"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211 (86.4%)</w:t>
            </w:r>
          </w:p>
        </w:tc>
        <w:tc>
          <w:tcPr>
            <w:tcW w:w="1071" w:type="dxa"/>
            <w:tcBorders>
              <w:top w:val="nil"/>
              <w:left w:val="nil"/>
              <w:bottom w:val="single" w:sz="8"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33 (13.6%)</w:t>
            </w:r>
          </w:p>
        </w:tc>
        <w:tc>
          <w:tcPr>
            <w:tcW w:w="1314" w:type="dxa"/>
            <w:tcBorders>
              <w:top w:val="nil"/>
              <w:left w:val="nil"/>
              <w:bottom w:val="single" w:sz="8"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143 (58.6%)</w:t>
            </w:r>
          </w:p>
        </w:tc>
        <w:tc>
          <w:tcPr>
            <w:tcW w:w="1621" w:type="dxa"/>
            <w:tcBorders>
              <w:top w:val="nil"/>
              <w:left w:val="nil"/>
              <w:bottom w:val="single" w:sz="8" w:space="0" w:color="auto"/>
              <w:right w:val="single" w:sz="4" w:space="0" w:color="auto"/>
            </w:tcBorders>
            <w:vAlign w:val="center"/>
          </w:tcPr>
          <w:p w:rsidR="00686902" w:rsidRDefault="00686902" w:rsidP="00204B16">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24"/>
              </w:rPr>
              <w:t>61 (25.0%)</w:t>
            </w:r>
          </w:p>
        </w:tc>
      </w:tr>
    </w:tbl>
    <w:p w:rsidR="00686902" w:rsidRDefault="00686902" w:rsidP="00686902">
      <w:pPr>
        <w:pStyle w:val="NoSpacing"/>
        <w:rPr>
          <w:rFonts w:ascii="Times New Roman" w:eastAsia="Times New Roman" w:hAnsi="Times New Roman"/>
          <w:b/>
          <w:bCs/>
        </w:rPr>
      </w:pPr>
    </w:p>
    <w:p w:rsidR="00686902" w:rsidRDefault="00686902" w:rsidP="00112F37">
      <w:pPr>
        <w:autoSpaceDE w:val="0"/>
        <w:autoSpaceDN w:val="0"/>
        <w:adjustRightInd w:val="0"/>
        <w:spacing w:after="0" w:line="240" w:lineRule="auto"/>
        <w:rPr>
          <w:rFonts w:ascii="Times New Roman" w:hAnsi="Times New Roman"/>
          <w:b/>
        </w:rPr>
      </w:pPr>
    </w:p>
    <w:p w:rsidR="00112F37" w:rsidRDefault="00112F37" w:rsidP="00112F37">
      <w:pPr>
        <w:pStyle w:val="NoSpacing"/>
        <w:rPr>
          <w:rFonts w:ascii="Times New Roman" w:hAnsi="Times New Roman"/>
          <w:sz w:val="24"/>
          <w:szCs w:val="24"/>
        </w:rPr>
      </w:pPr>
      <w:r>
        <w:rPr>
          <w:rFonts w:ascii="Times New Roman" w:eastAsia="Times New Roman" w:hAnsi="Times New Roman"/>
          <w:b/>
          <w:bCs/>
          <w:sz w:val="24"/>
          <w:szCs w:val="24"/>
        </w:rPr>
        <w:t>Conclusion:</w:t>
      </w:r>
      <w:r>
        <w:rPr>
          <w:rFonts w:ascii="Times New Roman" w:eastAsia="Times New Roman" w:hAnsi="Times New Roman"/>
          <w:sz w:val="24"/>
          <w:szCs w:val="24"/>
        </w:rPr>
        <w:t> </w:t>
      </w:r>
      <w:r>
        <w:rPr>
          <w:rFonts w:ascii="Times New Roman" w:hAnsi="Times New Roman"/>
          <w:sz w:val="24"/>
          <w:szCs w:val="24"/>
        </w:rPr>
        <w:t xml:space="preserve">The uptake of both vaccination is very good .These suggest that motivation, raising awareness about the importance and safety of such vaccinations amongst patients and  improving availability of such vaccines at same place (pharmacy) is of paramount importance to good compliance of vaccination. We feel that the overburdened consultant rheumatologists may not have spare time for in-depth vaccination counseling </w:t>
      </w:r>
      <w:r w:rsidR="00E708E0">
        <w:rPr>
          <w:rFonts w:ascii="Times New Roman" w:hAnsi="Times New Roman"/>
          <w:sz w:val="24"/>
          <w:szCs w:val="24"/>
        </w:rPr>
        <w:t>our results</w:t>
      </w:r>
      <w:r>
        <w:rPr>
          <w:rFonts w:ascii="Times New Roman" w:hAnsi="Times New Roman"/>
          <w:sz w:val="24"/>
          <w:szCs w:val="24"/>
        </w:rPr>
        <w:t xml:space="preserve"> show</w:t>
      </w:r>
      <w:r w:rsidR="00E708E0">
        <w:rPr>
          <w:rFonts w:ascii="Times New Roman" w:hAnsi="Times New Roman"/>
          <w:sz w:val="24"/>
          <w:szCs w:val="24"/>
        </w:rPr>
        <w:t>s</w:t>
      </w:r>
      <w:r>
        <w:rPr>
          <w:rFonts w:ascii="Times New Roman" w:hAnsi="Times New Roman"/>
          <w:sz w:val="24"/>
          <w:szCs w:val="24"/>
        </w:rPr>
        <w:t xml:space="preserve"> that dedicated counseling by specialist nurse makes a difference.</w:t>
      </w:r>
    </w:p>
    <w:p w:rsidR="00112F37" w:rsidRDefault="00112F37" w:rsidP="00112F37">
      <w:pPr>
        <w:pStyle w:val="NoSpacing"/>
        <w:rPr>
          <w:rFonts w:ascii="Times New Roman" w:hAnsi="Times New Roman"/>
          <w:sz w:val="24"/>
          <w:szCs w:val="24"/>
        </w:rPr>
      </w:pPr>
    </w:p>
    <w:p w:rsidR="00D62257" w:rsidRDefault="00D62257"/>
    <w:sectPr w:rsidR="00D62257" w:rsidSect="009B5B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12F37"/>
    <w:rsid w:val="000B26DE"/>
    <w:rsid w:val="000F1095"/>
    <w:rsid w:val="00112F37"/>
    <w:rsid w:val="00246B5A"/>
    <w:rsid w:val="00686902"/>
    <w:rsid w:val="009B5BB7"/>
    <w:rsid w:val="00A8768C"/>
    <w:rsid w:val="00B518AD"/>
    <w:rsid w:val="00B952A1"/>
    <w:rsid w:val="00C76B9D"/>
    <w:rsid w:val="00D62257"/>
    <w:rsid w:val="00DE5F57"/>
    <w:rsid w:val="00DF2B4D"/>
    <w:rsid w:val="00E63321"/>
    <w:rsid w:val="00E708E0"/>
    <w:rsid w:val="00EB46D9"/>
    <w:rsid w:val="00F51624"/>
    <w:rsid w:val="00F94232"/>
    <w:rsid w:val="00FE38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F37"/>
    <w:rPr>
      <w:rFonts w:ascii="Calibri" w:eastAsia="SimSu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112F37"/>
    <w:pPr>
      <w:spacing w:after="0" w:line="240" w:lineRule="auto"/>
    </w:pPr>
    <w:rPr>
      <w:rFonts w:ascii="Calibri" w:eastAsia="SimSu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ISIC</dc:creator>
  <cp:lastModifiedBy>ISIC</cp:lastModifiedBy>
  <cp:revision>5</cp:revision>
  <dcterms:created xsi:type="dcterms:W3CDTF">2019-05-09T09:32:00Z</dcterms:created>
  <dcterms:modified xsi:type="dcterms:W3CDTF">2019-05-09T11:23:00Z</dcterms:modified>
</cp:coreProperties>
</file>