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BB1" w:rsidRPr="00E74594" w:rsidRDefault="00AD0BB1" w:rsidP="00AD0BB1">
      <w:pPr>
        <w:jc w:val="center"/>
        <w:rPr>
          <w:rFonts w:asciiTheme="majorBidi" w:hAnsiTheme="majorBidi" w:cstheme="majorBidi"/>
          <w:b/>
          <w:bCs/>
          <w:color w:val="222222"/>
          <w:sz w:val="40"/>
          <w:szCs w:val="40"/>
          <w:shd w:val="clear" w:color="auto" w:fill="FFFFFF"/>
          <w:rtl/>
          <w:lang w:bidi="ar-LY"/>
        </w:rPr>
      </w:pPr>
      <w:r w:rsidRPr="00A15472">
        <w:rPr>
          <w:rFonts w:asciiTheme="majorBidi" w:hAnsiTheme="majorBidi" w:cstheme="majorBidi"/>
          <w:b/>
          <w:bCs/>
          <w:color w:val="222222"/>
          <w:sz w:val="40"/>
          <w:szCs w:val="40"/>
          <w:shd w:val="clear" w:color="auto" w:fill="FFFFFF"/>
        </w:rPr>
        <w:t>Antibiotic</w:t>
      </w:r>
      <w:r>
        <w:rPr>
          <w:rFonts w:asciiTheme="majorBidi" w:hAnsiTheme="majorBidi" w:cstheme="majorBidi"/>
          <w:b/>
          <w:bCs/>
          <w:color w:val="222222"/>
          <w:sz w:val="40"/>
          <w:szCs w:val="40"/>
          <w:shd w:val="clear" w:color="auto" w:fill="FFFFFF"/>
        </w:rPr>
        <w:t xml:space="preserve"> Use and Bacterial </w:t>
      </w:r>
      <w:r w:rsidRPr="00A15472">
        <w:rPr>
          <w:rFonts w:asciiTheme="majorBidi" w:hAnsiTheme="majorBidi" w:cstheme="majorBidi"/>
          <w:b/>
          <w:bCs/>
          <w:color w:val="222222"/>
          <w:sz w:val="40"/>
          <w:szCs w:val="40"/>
          <w:shd w:val="clear" w:color="auto" w:fill="FFFFFF"/>
        </w:rPr>
        <w:t xml:space="preserve"> </w:t>
      </w:r>
      <w:r>
        <w:rPr>
          <w:rFonts w:asciiTheme="majorBidi" w:hAnsiTheme="majorBidi" w:cstheme="majorBidi"/>
          <w:b/>
          <w:bCs/>
          <w:color w:val="222222"/>
          <w:sz w:val="40"/>
          <w:szCs w:val="40"/>
          <w:shd w:val="clear" w:color="auto" w:fill="FFFFFF"/>
        </w:rPr>
        <w:t>R</w:t>
      </w:r>
      <w:r w:rsidRPr="00A15472">
        <w:rPr>
          <w:rFonts w:asciiTheme="majorBidi" w:hAnsiTheme="majorBidi" w:cstheme="majorBidi"/>
          <w:b/>
          <w:bCs/>
          <w:color w:val="222222"/>
          <w:sz w:val="40"/>
          <w:szCs w:val="40"/>
          <w:shd w:val="clear" w:color="auto" w:fill="FFFFFF"/>
        </w:rPr>
        <w:t xml:space="preserve">esistance </w:t>
      </w:r>
    </w:p>
    <w:p w:rsidR="00AD0BB1" w:rsidRPr="00274834" w:rsidRDefault="00AD0BB1" w:rsidP="00AD0BB1">
      <w:pPr>
        <w:jc w:val="center"/>
        <w:rPr>
          <w:rFonts w:asciiTheme="majorBidi" w:hAnsiTheme="majorBidi" w:cstheme="majorBidi"/>
          <w:sz w:val="24"/>
          <w:szCs w:val="24"/>
        </w:rPr>
      </w:pPr>
      <w:proofErr w:type="spellStart"/>
      <w:r w:rsidRPr="00274834">
        <w:rPr>
          <w:rFonts w:asciiTheme="majorBidi" w:hAnsiTheme="majorBidi" w:cstheme="majorBidi"/>
          <w:color w:val="222222"/>
          <w:sz w:val="24"/>
          <w:szCs w:val="24"/>
          <w:shd w:val="clear" w:color="auto" w:fill="FFFFFF"/>
        </w:rPr>
        <w:t>Samia</w:t>
      </w:r>
      <w:proofErr w:type="spellEnd"/>
      <w:r w:rsidRPr="00274834">
        <w:rPr>
          <w:rFonts w:asciiTheme="majorBidi" w:hAnsiTheme="majorBidi" w:cstheme="majorBidi"/>
          <w:color w:val="222222"/>
          <w:sz w:val="24"/>
          <w:szCs w:val="24"/>
          <w:shd w:val="clear" w:color="auto" w:fill="FFFFFF"/>
        </w:rPr>
        <w:t xml:space="preserve"> </w:t>
      </w:r>
      <w:proofErr w:type="spellStart"/>
      <w:r w:rsidRPr="00274834">
        <w:rPr>
          <w:rFonts w:asciiTheme="majorBidi" w:hAnsiTheme="majorBidi" w:cstheme="majorBidi"/>
          <w:color w:val="222222"/>
          <w:sz w:val="24"/>
          <w:szCs w:val="24"/>
          <w:shd w:val="clear" w:color="auto" w:fill="FFFFFF"/>
        </w:rPr>
        <w:t>Elzwi</w:t>
      </w:r>
      <w:proofErr w:type="spellEnd"/>
      <w:r w:rsidRPr="00274834">
        <w:rPr>
          <w:rFonts w:asciiTheme="majorBidi" w:hAnsiTheme="majorBidi" w:cstheme="majorBidi"/>
          <w:color w:val="222222"/>
          <w:sz w:val="24"/>
          <w:szCs w:val="24"/>
          <w:shd w:val="clear" w:color="auto" w:fill="FFFFFF"/>
        </w:rPr>
        <w:t xml:space="preserve"> and</w:t>
      </w:r>
      <w:r w:rsidRPr="00274834">
        <w:rPr>
          <w:rFonts w:asciiTheme="majorBidi" w:hAnsiTheme="majorBidi" w:cstheme="majorBidi"/>
          <w:sz w:val="24"/>
          <w:szCs w:val="24"/>
        </w:rPr>
        <w:t xml:space="preserve"> Aisha Alfituri</w:t>
      </w:r>
    </w:p>
    <w:p w:rsidR="00AD0BB1" w:rsidRPr="00AD0BB1" w:rsidRDefault="00AD0BB1" w:rsidP="00AD0BB1">
      <w:pPr>
        <w:spacing w:line="360" w:lineRule="auto"/>
        <w:jc w:val="right"/>
        <w:rPr>
          <w:rFonts w:asciiTheme="majorBidi" w:hAnsiTheme="majorBidi" w:cstheme="majorBidi"/>
          <w:color w:val="222222"/>
          <w:sz w:val="24"/>
          <w:szCs w:val="24"/>
          <w:shd w:val="clear" w:color="auto" w:fill="FFFFFF"/>
          <w:rtl/>
          <w:lang w:bidi="ar-LY"/>
        </w:rPr>
      </w:pPr>
      <w:r>
        <w:rPr>
          <w:rFonts w:asciiTheme="majorBidi" w:hAnsiTheme="majorBidi" w:cstheme="majorBidi"/>
          <w:b/>
          <w:bCs/>
          <w:color w:val="222222"/>
          <w:sz w:val="24"/>
          <w:szCs w:val="24"/>
          <w:shd w:val="clear" w:color="auto" w:fill="FFFFFF"/>
        </w:rPr>
        <w:t>Abstract</w:t>
      </w:r>
      <w:r w:rsidRPr="002A373C">
        <w:rPr>
          <w:rFonts w:asciiTheme="majorBidi" w:hAnsiTheme="majorBidi" w:cstheme="majorBidi"/>
          <w:color w:val="222222"/>
          <w:sz w:val="24"/>
          <w:szCs w:val="24"/>
          <w:shd w:val="clear" w:color="auto" w:fill="FFFFFF"/>
        </w:rPr>
        <w:t>: The prevalence of antibiotic resistance of the most common bacterial pathogens is expanding worldwide and Libya is a major contributor to this owing to its poor healthcare standards, together with the misuse and overuse of antibiotics. This review was conducted to summarize the </w:t>
      </w:r>
      <w:r w:rsidRPr="002A373C">
        <w:rPr>
          <w:rFonts w:asciiTheme="majorBidi" w:hAnsiTheme="majorBidi" w:cstheme="majorBidi"/>
          <w:color w:val="222222"/>
          <w:sz w:val="24"/>
          <w:szCs w:val="24"/>
        </w:rPr>
        <w:t>current</w:t>
      </w:r>
      <w:r w:rsidRPr="002A373C">
        <w:rPr>
          <w:rFonts w:asciiTheme="majorBidi" w:hAnsiTheme="majorBidi" w:cstheme="majorBidi"/>
          <w:color w:val="222222"/>
          <w:sz w:val="24"/>
          <w:szCs w:val="24"/>
          <w:shd w:val="clear" w:color="auto" w:fill="FFFFFF"/>
        </w:rPr>
        <w:t> state of antibiotic resistance in Libya</w:t>
      </w:r>
      <w:r w:rsidRPr="00D92DA9">
        <w:rPr>
          <w:rFonts w:asciiTheme="majorBidi" w:hAnsiTheme="majorBidi" w:cstheme="majorBidi"/>
          <w:color w:val="222222"/>
          <w:sz w:val="24"/>
          <w:szCs w:val="24"/>
          <w:shd w:val="clear" w:color="auto" w:fill="FFFFFF"/>
        </w:rPr>
        <w:t xml:space="preserve"> </w:t>
      </w:r>
      <w:r w:rsidRPr="002A373C">
        <w:rPr>
          <w:rFonts w:asciiTheme="majorBidi" w:hAnsiTheme="majorBidi" w:cstheme="majorBidi"/>
          <w:color w:val="222222"/>
          <w:sz w:val="24"/>
          <w:szCs w:val="24"/>
          <w:shd w:val="clear" w:color="auto" w:fill="FFFFFF"/>
        </w:rPr>
        <w:t>and to provide recommendations based on the findings</w:t>
      </w:r>
      <w:r>
        <w:rPr>
          <w:rFonts w:asciiTheme="majorBidi" w:hAnsiTheme="majorBidi" w:cstheme="majorBidi"/>
          <w:color w:val="222222"/>
          <w:sz w:val="24"/>
          <w:szCs w:val="24"/>
          <w:shd w:val="clear" w:color="auto" w:fill="FFFFFF"/>
        </w:rPr>
        <w:t>.</w:t>
      </w:r>
      <w:r w:rsidRPr="00AD0BB1">
        <w:rPr>
          <w:rFonts w:asciiTheme="majorBidi" w:hAnsiTheme="majorBidi" w:cstheme="majorBidi"/>
          <w:color w:val="222222"/>
          <w:sz w:val="24"/>
          <w:szCs w:val="24"/>
          <w:shd w:val="clear" w:color="auto" w:fill="FFFFFF"/>
        </w:rPr>
        <w:t xml:space="preserve"> </w:t>
      </w:r>
      <w:r w:rsidRPr="002A373C">
        <w:rPr>
          <w:rFonts w:asciiTheme="majorBidi" w:hAnsiTheme="majorBidi" w:cstheme="majorBidi"/>
          <w:color w:val="222222"/>
          <w:sz w:val="24"/>
          <w:szCs w:val="24"/>
          <w:shd w:val="clear" w:color="auto" w:fill="FFFFFF"/>
        </w:rPr>
        <w:t xml:space="preserve">Google Scholar, PubMed, and Libyan Journals were searched using relevant keywords to identify articles related to antibiotic resistance in published between 1991 and 2018. Inclusion or exclusion was based on a predefined set of criteria In a retrospective study conducted at a private clinic in Tripoli city in </w:t>
      </w:r>
      <w:r w:rsidRPr="00AD0BB1">
        <w:rPr>
          <w:rFonts w:asciiTheme="majorBidi" w:hAnsiTheme="majorBidi" w:cstheme="majorBidi"/>
          <w:color w:val="222222"/>
          <w:sz w:val="24"/>
          <w:szCs w:val="24"/>
          <w:shd w:val="clear" w:color="auto" w:fill="FFFFFF"/>
        </w:rPr>
        <w:t xml:space="preserve">2016 in which the </w:t>
      </w:r>
      <w:r w:rsidRPr="002A373C">
        <w:rPr>
          <w:rFonts w:asciiTheme="majorBidi" w:hAnsiTheme="majorBidi" w:cstheme="majorBidi"/>
          <w:color w:val="222222"/>
          <w:sz w:val="24"/>
          <w:szCs w:val="24"/>
          <w:shd w:val="clear" w:color="auto" w:fill="FFFFFF"/>
        </w:rPr>
        <w:t xml:space="preserve">antimicrobial susceptibility testing of culture positive bacterial isolates in urine sample done by disk diffusion method according to Clinical Laboratory Standard Institute guidelines (CLSI). K. pneumonia and E. coli were found to be highly resistant (38.11%, 34.13%, respectively) followed by staphylococci </w:t>
      </w:r>
      <w:proofErr w:type="spellStart"/>
      <w:r w:rsidRPr="002A373C">
        <w:rPr>
          <w:rFonts w:asciiTheme="majorBidi" w:hAnsiTheme="majorBidi" w:cstheme="majorBidi"/>
          <w:color w:val="222222"/>
          <w:sz w:val="24"/>
          <w:szCs w:val="24"/>
          <w:shd w:val="clear" w:color="auto" w:fill="FFFFFF"/>
        </w:rPr>
        <w:t>spp</w:t>
      </w:r>
      <w:proofErr w:type="spellEnd"/>
      <w:r w:rsidRPr="002A373C">
        <w:rPr>
          <w:rFonts w:asciiTheme="majorBidi" w:hAnsiTheme="majorBidi" w:cstheme="majorBidi"/>
          <w:color w:val="222222"/>
          <w:sz w:val="24"/>
          <w:szCs w:val="24"/>
          <w:shd w:val="clear" w:color="auto" w:fill="FFFFFF"/>
        </w:rPr>
        <w:t xml:space="preserve"> (26.29%), and the bacteria exhibit resistance to wide range of tested </w:t>
      </w:r>
      <w:proofErr w:type="spellStart"/>
      <w:r w:rsidRPr="002A373C">
        <w:rPr>
          <w:rFonts w:asciiTheme="majorBidi" w:hAnsiTheme="majorBidi" w:cstheme="majorBidi"/>
          <w:color w:val="222222"/>
          <w:sz w:val="24"/>
          <w:szCs w:val="24"/>
          <w:shd w:val="clear" w:color="auto" w:fill="FFFFFF"/>
        </w:rPr>
        <w:t>antimicrobialsCiprofloxacin</w:t>
      </w:r>
      <w:proofErr w:type="spellEnd"/>
      <w:r w:rsidRPr="002A373C">
        <w:rPr>
          <w:rFonts w:asciiTheme="majorBidi" w:hAnsiTheme="majorBidi" w:cstheme="majorBidi"/>
          <w:color w:val="222222"/>
          <w:sz w:val="24"/>
          <w:szCs w:val="24"/>
          <w:shd w:val="clear" w:color="auto" w:fill="FFFFFF"/>
        </w:rPr>
        <w:t xml:space="preserve"> was the most (12.3% resistance) powerful antibiotic agent followed by Gentamycin (17.6% resistance) and Erythromycin (19.0% resistance) which affected 87.7%, 82.4% and 81.0% of tested UTI causative pathogens, respectively; While </w:t>
      </w:r>
      <w:proofErr w:type="spellStart"/>
      <w:r w:rsidRPr="002A373C">
        <w:rPr>
          <w:rFonts w:asciiTheme="majorBidi" w:hAnsiTheme="majorBidi" w:cstheme="majorBidi"/>
          <w:color w:val="222222"/>
          <w:sz w:val="24"/>
          <w:szCs w:val="24"/>
          <w:shd w:val="clear" w:color="auto" w:fill="FFFFFF"/>
        </w:rPr>
        <w:t>Coamoxclav</w:t>
      </w:r>
      <w:proofErr w:type="spellEnd"/>
      <w:r w:rsidRPr="002A373C">
        <w:rPr>
          <w:rFonts w:asciiTheme="majorBidi" w:hAnsiTheme="majorBidi" w:cstheme="majorBidi"/>
          <w:color w:val="222222"/>
          <w:sz w:val="24"/>
          <w:szCs w:val="24"/>
          <w:shd w:val="clear" w:color="auto" w:fill="FFFFFF"/>
        </w:rPr>
        <w:t xml:space="preserve"> and Amoxicillin were the least (63.0%  &amp; 50.3% resistance, respectively) affected only 37.0% and 49.7% of tested isolates, respectively.</w:t>
      </w:r>
      <w:r w:rsidRPr="00AD0BB1">
        <w:rPr>
          <w:rFonts w:asciiTheme="majorBidi" w:hAnsiTheme="majorBidi" w:cstheme="majorBidi"/>
          <w:color w:val="222222"/>
          <w:sz w:val="24"/>
          <w:szCs w:val="24"/>
          <w:shd w:val="clear" w:color="auto" w:fill="FFFFFF"/>
        </w:rPr>
        <w:t xml:space="preserve"> </w:t>
      </w:r>
      <w:r w:rsidRPr="002A373C">
        <w:rPr>
          <w:rFonts w:asciiTheme="majorBidi" w:hAnsiTheme="majorBidi" w:cstheme="majorBidi"/>
          <w:color w:val="222222"/>
          <w:sz w:val="24"/>
          <w:szCs w:val="24"/>
          <w:shd w:val="clear" w:color="auto" w:fill="FFFFFF"/>
        </w:rPr>
        <w:t xml:space="preserve">Another retrospective observational study conducted in Tripoli Central Hospital </w:t>
      </w:r>
      <w:r w:rsidRPr="00AD0BB1">
        <w:rPr>
          <w:rFonts w:asciiTheme="majorBidi" w:hAnsiTheme="majorBidi" w:cstheme="majorBidi"/>
          <w:color w:val="222222"/>
          <w:sz w:val="24"/>
          <w:szCs w:val="24"/>
          <w:shd w:val="clear" w:color="auto" w:fill="FFFFFF"/>
        </w:rPr>
        <w:t xml:space="preserve">(2013- 2014) </w:t>
      </w:r>
      <w:r w:rsidRPr="002A373C">
        <w:rPr>
          <w:rFonts w:asciiTheme="majorBidi" w:hAnsiTheme="majorBidi" w:cstheme="majorBidi"/>
          <w:color w:val="222222"/>
          <w:sz w:val="24"/>
          <w:szCs w:val="24"/>
          <w:shd w:val="clear" w:color="auto" w:fill="FFFFFF"/>
        </w:rPr>
        <w:t xml:space="preserve">in which the DNA of the MRSA isolates was used for PCR to determine the molecular analysis besides to the disk diffusion method. 3/4 were coagulase positive staphylococci (CPS) and 1/3 were coagulase negative staphylococci (CNS). 39.7% of CPS were MRSA, while 75.8% of CNS were MRCNS. The rates of hospital-acquired MRSA (HA-MRSA) and community- acquired MRSA (CAMRSA) among MRSA isolates were 61.3% and 38.7% respectively. A similar trend was detected among MRCNS isolates, where 74.5% were HA-MRCNS and 25.5% were CA-MRCNS. All the MRSA and MRCNS isolates were susceptible (100%) to </w:t>
      </w:r>
      <w:proofErr w:type="spellStart"/>
      <w:r w:rsidRPr="002A373C">
        <w:rPr>
          <w:rFonts w:asciiTheme="majorBidi" w:hAnsiTheme="majorBidi" w:cstheme="majorBidi"/>
          <w:color w:val="222222"/>
          <w:sz w:val="24"/>
          <w:szCs w:val="24"/>
          <w:shd w:val="clear" w:color="auto" w:fill="FFFFFF"/>
        </w:rPr>
        <w:t>vancomycin</w:t>
      </w:r>
      <w:proofErr w:type="spellEnd"/>
      <w:r w:rsidRPr="002A373C">
        <w:rPr>
          <w:rFonts w:asciiTheme="majorBidi" w:hAnsiTheme="majorBidi" w:cstheme="majorBidi"/>
          <w:color w:val="222222"/>
          <w:sz w:val="24"/>
          <w:szCs w:val="24"/>
          <w:shd w:val="clear" w:color="auto" w:fill="FFFFFF"/>
        </w:rPr>
        <w:t xml:space="preserve">, </w:t>
      </w:r>
      <w:proofErr w:type="spellStart"/>
      <w:r w:rsidRPr="002A373C">
        <w:rPr>
          <w:rFonts w:asciiTheme="majorBidi" w:hAnsiTheme="majorBidi" w:cstheme="majorBidi"/>
          <w:color w:val="222222"/>
          <w:sz w:val="24"/>
          <w:szCs w:val="24"/>
          <w:shd w:val="clear" w:color="auto" w:fill="FFFFFF"/>
        </w:rPr>
        <w:t>Tigecycline</w:t>
      </w:r>
      <w:proofErr w:type="spellEnd"/>
      <w:r w:rsidRPr="002A373C">
        <w:rPr>
          <w:rFonts w:asciiTheme="majorBidi" w:hAnsiTheme="majorBidi" w:cstheme="majorBidi"/>
          <w:color w:val="222222"/>
          <w:sz w:val="24"/>
          <w:szCs w:val="24"/>
          <w:shd w:val="clear" w:color="auto" w:fill="FFFFFF"/>
        </w:rPr>
        <w:t xml:space="preserve">, Linezolid, </w:t>
      </w:r>
      <w:proofErr w:type="spellStart"/>
      <w:r w:rsidRPr="002A373C">
        <w:rPr>
          <w:rFonts w:asciiTheme="majorBidi" w:hAnsiTheme="majorBidi" w:cstheme="majorBidi"/>
          <w:color w:val="222222"/>
          <w:sz w:val="24"/>
          <w:szCs w:val="24"/>
          <w:shd w:val="clear" w:color="auto" w:fill="FFFFFF"/>
        </w:rPr>
        <w:t>Quinupristin</w:t>
      </w:r>
      <w:proofErr w:type="spellEnd"/>
      <w:r w:rsidRPr="002A373C">
        <w:rPr>
          <w:rFonts w:asciiTheme="majorBidi" w:hAnsiTheme="majorBidi" w:cstheme="majorBidi"/>
          <w:color w:val="222222"/>
          <w:sz w:val="24"/>
          <w:szCs w:val="24"/>
          <w:shd w:val="clear" w:color="auto" w:fill="FFFFFF"/>
        </w:rPr>
        <w:t>/</w:t>
      </w:r>
      <w:proofErr w:type="spellStart"/>
      <w:r w:rsidRPr="002A373C">
        <w:rPr>
          <w:rFonts w:asciiTheme="majorBidi" w:hAnsiTheme="majorBidi" w:cstheme="majorBidi"/>
          <w:color w:val="222222"/>
          <w:sz w:val="24"/>
          <w:szCs w:val="24"/>
          <w:shd w:val="clear" w:color="auto" w:fill="FFFFFF"/>
        </w:rPr>
        <w:t>Dalfopristin</w:t>
      </w:r>
      <w:proofErr w:type="spellEnd"/>
      <w:r w:rsidRPr="002A373C">
        <w:rPr>
          <w:rFonts w:asciiTheme="majorBidi" w:hAnsiTheme="majorBidi" w:cstheme="majorBidi"/>
          <w:color w:val="222222"/>
          <w:sz w:val="24"/>
          <w:szCs w:val="24"/>
          <w:shd w:val="clear" w:color="auto" w:fill="FFFFFF"/>
        </w:rPr>
        <w:t xml:space="preserve">, </w:t>
      </w:r>
      <w:proofErr w:type="spellStart"/>
      <w:r w:rsidRPr="002A373C">
        <w:rPr>
          <w:rFonts w:asciiTheme="majorBidi" w:hAnsiTheme="majorBidi" w:cstheme="majorBidi"/>
          <w:color w:val="222222"/>
          <w:sz w:val="24"/>
          <w:szCs w:val="24"/>
          <w:shd w:val="clear" w:color="auto" w:fill="FFFFFF"/>
        </w:rPr>
        <w:t>Daptomycin</w:t>
      </w:r>
      <w:proofErr w:type="spellEnd"/>
      <w:r w:rsidRPr="002A373C">
        <w:rPr>
          <w:rFonts w:asciiTheme="majorBidi" w:hAnsiTheme="majorBidi" w:cstheme="majorBidi"/>
          <w:color w:val="222222"/>
          <w:sz w:val="24"/>
          <w:szCs w:val="24"/>
          <w:shd w:val="clear" w:color="auto" w:fill="FFFFFF"/>
        </w:rPr>
        <w:t xml:space="preserve"> and </w:t>
      </w:r>
      <w:proofErr w:type="spellStart"/>
      <w:r w:rsidRPr="002A373C">
        <w:rPr>
          <w:rFonts w:asciiTheme="majorBidi" w:hAnsiTheme="majorBidi" w:cstheme="majorBidi"/>
          <w:color w:val="222222"/>
          <w:sz w:val="24"/>
          <w:szCs w:val="24"/>
          <w:shd w:val="clear" w:color="auto" w:fill="FFFFFF"/>
        </w:rPr>
        <w:t>Moxifloxacin</w:t>
      </w:r>
      <w:proofErr w:type="spellEnd"/>
      <w:r w:rsidRPr="002A373C">
        <w:rPr>
          <w:rFonts w:asciiTheme="majorBidi" w:hAnsiTheme="majorBidi" w:cstheme="majorBidi"/>
          <w:color w:val="222222"/>
          <w:sz w:val="24"/>
          <w:szCs w:val="24"/>
          <w:shd w:val="clear" w:color="auto" w:fill="FFFFFF"/>
        </w:rPr>
        <w:t xml:space="preserve">. Mostly, hospital-acquired strains showed higher resistance rates than community-acquired ones to the most commonly tested non-beta-lactam antibiotics. 35.5% of all staphylococcal isolates </w:t>
      </w:r>
      <w:r w:rsidRPr="002A373C">
        <w:rPr>
          <w:rFonts w:asciiTheme="majorBidi" w:hAnsiTheme="majorBidi" w:cstheme="majorBidi"/>
          <w:color w:val="222222"/>
          <w:sz w:val="24"/>
          <w:szCs w:val="24"/>
          <w:shd w:val="clear" w:color="auto" w:fill="FFFFFF"/>
        </w:rPr>
        <w:lastRenderedPageBreak/>
        <w:t xml:space="preserve">exhibited </w:t>
      </w:r>
      <w:proofErr w:type="spellStart"/>
      <w:r w:rsidRPr="002A373C">
        <w:rPr>
          <w:rFonts w:asciiTheme="majorBidi" w:hAnsiTheme="majorBidi" w:cstheme="majorBidi"/>
          <w:color w:val="222222"/>
          <w:sz w:val="24"/>
          <w:szCs w:val="24"/>
          <w:shd w:val="clear" w:color="auto" w:fill="FFFFFF"/>
        </w:rPr>
        <w:t>mecA+gene</w:t>
      </w:r>
      <w:proofErr w:type="spellEnd"/>
      <w:r w:rsidRPr="002A373C">
        <w:rPr>
          <w:rFonts w:asciiTheme="majorBidi" w:hAnsiTheme="majorBidi" w:cstheme="majorBidi"/>
          <w:color w:val="222222"/>
          <w:sz w:val="24"/>
          <w:szCs w:val="24"/>
          <w:shd w:val="clear" w:color="auto" w:fill="FFFFFF"/>
        </w:rPr>
        <w:t xml:space="preserve"> and 12.9% expressed </w:t>
      </w:r>
      <w:proofErr w:type="spellStart"/>
      <w:r w:rsidRPr="002A373C">
        <w:rPr>
          <w:rFonts w:asciiTheme="majorBidi" w:hAnsiTheme="majorBidi" w:cstheme="majorBidi"/>
          <w:color w:val="222222"/>
          <w:sz w:val="24"/>
          <w:szCs w:val="24"/>
          <w:shd w:val="clear" w:color="auto" w:fill="FFFFFF"/>
        </w:rPr>
        <w:t>mecC</w:t>
      </w:r>
      <w:proofErr w:type="spellEnd"/>
      <w:r w:rsidRPr="002A373C">
        <w:rPr>
          <w:rFonts w:asciiTheme="majorBidi" w:hAnsiTheme="majorBidi" w:cstheme="majorBidi"/>
          <w:color w:val="222222"/>
          <w:sz w:val="24"/>
          <w:szCs w:val="24"/>
          <w:shd w:val="clear" w:color="auto" w:fill="FFFFFF"/>
        </w:rPr>
        <w:t xml:space="preserve">+. For the meantime, 38.7% of MRSA isolates harbored both </w:t>
      </w:r>
      <w:proofErr w:type="spellStart"/>
      <w:r w:rsidRPr="002A373C">
        <w:rPr>
          <w:rFonts w:asciiTheme="majorBidi" w:hAnsiTheme="majorBidi" w:cstheme="majorBidi"/>
          <w:color w:val="222222"/>
          <w:sz w:val="24"/>
          <w:szCs w:val="24"/>
          <w:shd w:val="clear" w:color="auto" w:fill="FFFFFF"/>
        </w:rPr>
        <w:t>mecA</w:t>
      </w:r>
      <w:proofErr w:type="spellEnd"/>
      <w:r w:rsidRPr="002A373C">
        <w:rPr>
          <w:rFonts w:asciiTheme="majorBidi" w:hAnsiTheme="majorBidi" w:cstheme="majorBidi"/>
          <w:color w:val="222222"/>
          <w:sz w:val="24"/>
          <w:szCs w:val="24"/>
          <w:shd w:val="clear" w:color="auto" w:fill="FFFFFF"/>
        </w:rPr>
        <w:t xml:space="preserve"> and </w:t>
      </w:r>
      <w:proofErr w:type="spellStart"/>
      <w:r w:rsidRPr="002A373C">
        <w:rPr>
          <w:rFonts w:asciiTheme="majorBidi" w:hAnsiTheme="majorBidi" w:cstheme="majorBidi"/>
          <w:color w:val="222222"/>
          <w:sz w:val="24"/>
          <w:szCs w:val="24"/>
          <w:shd w:val="clear" w:color="auto" w:fill="FFFFFF"/>
        </w:rPr>
        <w:t>mecC</w:t>
      </w:r>
      <w:proofErr w:type="spellEnd"/>
      <w:r w:rsidRPr="002A373C">
        <w:rPr>
          <w:rFonts w:asciiTheme="majorBidi" w:hAnsiTheme="majorBidi" w:cstheme="majorBidi"/>
          <w:color w:val="222222"/>
          <w:sz w:val="24"/>
          <w:szCs w:val="24"/>
          <w:shd w:val="clear" w:color="auto" w:fill="FFFFFF"/>
        </w:rPr>
        <w:t xml:space="preserve">. However, 12.9% of MSSA isolates were negative for both </w:t>
      </w:r>
      <w:proofErr w:type="spellStart"/>
      <w:r w:rsidRPr="002A373C">
        <w:rPr>
          <w:rFonts w:asciiTheme="majorBidi" w:hAnsiTheme="majorBidi" w:cstheme="majorBidi"/>
          <w:color w:val="222222"/>
          <w:sz w:val="24"/>
          <w:szCs w:val="24"/>
          <w:shd w:val="clear" w:color="auto" w:fill="FFFFFF"/>
        </w:rPr>
        <w:t>mecA</w:t>
      </w:r>
      <w:proofErr w:type="spellEnd"/>
      <w:r w:rsidRPr="002A373C">
        <w:rPr>
          <w:rFonts w:asciiTheme="majorBidi" w:hAnsiTheme="majorBidi" w:cstheme="majorBidi"/>
          <w:color w:val="222222"/>
          <w:sz w:val="24"/>
          <w:szCs w:val="24"/>
          <w:shd w:val="clear" w:color="auto" w:fill="FFFFFF"/>
        </w:rPr>
        <w:t xml:space="preserve"> and </w:t>
      </w:r>
      <w:proofErr w:type="spellStart"/>
      <w:r w:rsidRPr="002A373C">
        <w:rPr>
          <w:rFonts w:asciiTheme="majorBidi" w:hAnsiTheme="majorBidi" w:cstheme="majorBidi"/>
          <w:color w:val="222222"/>
          <w:sz w:val="24"/>
          <w:szCs w:val="24"/>
          <w:shd w:val="clear" w:color="auto" w:fill="FFFFFF"/>
        </w:rPr>
        <w:t>mecC</w:t>
      </w:r>
      <w:proofErr w:type="spellEnd"/>
      <w:r w:rsidRPr="002A373C">
        <w:rPr>
          <w:rFonts w:asciiTheme="majorBidi" w:hAnsiTheme="majorBidi" w:cstheme="majorBidi"/>
          <w:color w:val="222222"/>
          <w:sz w:val="24"/>
          <w:szCs w:val="24"/>
          <w:shd w:val="clear" w:color="auto" w:fill="FFFFFF"/>
        </w:rPr>
        <w:t xml:space="preserve">. The </w:t>
      </w:r>
      <w:proofErr w:type="spellStart"/>
      <w:r w:rsidRPr="002A373C">
        <w:rPr>
          <w:rFonts w:asciiTheme="majorBidi" w:hAnsiTheme="majorBidi" w:cstheme="majorBidi"/>
          <w:color w:val="222222"/>
          <w:sz w:val="24"/>
          <w:szCs w:val="24"/>
          <w:shd w:val="clear" w:color="auto" w:fill="FFFFFF"/>
        </w:rPr>
        <w:t>mecA</w:t>
      </w:r>
      <w:proofErr w:type="spellEnd"/>
      <w:r w:rsidRPr="002A373C">
        <w:rPr>
          <w:rFonts w:asciiTheme="majorBidi" w:hAnsiTheme="majorBidi" w:cstheme="majorBidi"/>
          <w:color w:val="222222"/>
          <w:sz w:val="24"/>
          <w:szCs w:val="24"/>
          <w:shd w:val="clear" w:color="auto" w:fill="FFFFFF"/>
        </w:rPr>
        <w:t xml:space="preserve"> gene was detectable in 59.1% and 40.9 % of HA-MRSA and CA-MRSA isolates respectively.</w:t>
      </w:r>
    </w:p>
    <w:p w:rsidR="00B5442D" w:rsidRPr="00B5442D" w:rsidRDefault="00AD0BB1" w:rsidP="00B5442D">
      <w:pPr>
        <w:spacing w:line="360" w:lineRule="auto"/>
        <w:jc w:val="right"/>
        <w:rPr>
          <w:rFonts w:asciiTheme="majorBidi" w:hAnsiTheme="majorBidi" w:cstheme="majorBidi"/>
          <w:sz w:val="24"/>
          <w:szCs w:val="24"/>
        </w:rPr>
      </w:pPr>
      <w:r w:rsidRPr="002A373C">
        <w:rPr>
          <w:rFonts w:asciiTheme="majorBidi" w:hAnsiTheme="majorBidi" w:cstheme="majorBidi"/>
          <w:color w:val="222222"/>
          <w:sz w:val="24"/>
          <w:szCs w:val="24"/>
          <w:shd w:val="clear" w:color="auto" w:fill="FFFFFF"/>
        </w:rPr>
        <w:t>A high prevalence of resistance to most antibiotics was detected in Libya both in hospitals and community. Antibiotics purchasing without prescriptions remains a major problem in Libya. Based on the findings, we recommend appropriate initiatives to monitor and control the use of antibiotics, as well as well-defined policies and regulations regarding drug dispensing should be set. Educational programs that enhance knowledge of drug sellers and community awareness of antibiotics’ misuses should be implemented</w:t>
      </w:r>
      <w:r w:rsidR="00B5442D" w:rsidRPr="00B5442D">
        <w:rPr>
          <w:rFonts w:asciiTheme="majorBidi" w:hAnsiTheme="majorBidi" w:cstheme="majorBidi"/>
          <w:sz w:val="24"/>
          <w:szCs w:val="24"/>
        </w:rPr>
        <w:t xml:space="preserve"> REFERENCES:</w:t>
      </w:r>
    </w:p>
    <w:p w:rsidR="00B5442D" w:rsidRPr="00B5442D" w:rsidRDefault="00B5442D" w:rsidP="00B5442D">
      <w:pPr>
        <w:keepNext/>
        <w:keepLines/>
        <w:bidi w:val="0"/>
        <w:spacing w:after="375" w:line="360" w:lineRule="auto"/>
        <w:outlineLvl w:val="0"/>
        <w:rPr>
          <w:rFonts w:asciiTheme="majorBidi" w:eastAsia="Times New Roman" w:hAnsiTheme="majorBidi" w:cstheme="majorBidi"/>
          <w:kern w:val="36"/>
          <w:sz w:val="24"/>
          <w:szCs w:val="24"/>
        </w:rPr>
      </w:pPr>
      <w:r w:rsidRPr="00B5442D">
        <w:rPr>
          <w:rFonts w:asciiTheme="majorBidi" w:eastAsiaTheme="majorEastAsia" w:hAnsiTheme="majorBidi" w:cstheme="majorBidi"/>
          <w:sz w:val="24"/>
          <w:szCs w:val="24"/>
        </w:rPr>
        <w:t xml:space="preserve">. </w:t>
      </w:r>
      <w:proofErr w:type="spellStart"/>
      <w:r w:rsidRPr="00B5442D">
        <w:rPr>
          <w:rFonts w:asciiTheme="majorBidi" w:eastAsiaTheme="majorEastAsia" w:hAnsiTheme="majorBidi" w:cstheme="majorBidi"/>
          <w:sz w:val="24"/>
          <w:szCs w:val="24"/>
          <w:shd w:val="clear" w:color="auto" w:fill="FFFFFF"/>
        </w:rPr>
        <w:t>Milud</w:t>
      </w:r>
      <w:proofErr w:type="spellEnd"/>
      <w:r w:rsidRPr="00B5442D">
        <w:rPr>
          <w:rFonts w:asciiTheme="majorBidi" w:eastAsiaTheme="majorEastAsia" w:hAnsiTheme="majorBidi" w:cstheme="majorBidi"/>
          <w:sz w:val="24"/>
          <w:szCs w:val="24"/>
          <w:shd w:val="clear" w:color="auto" w:fill="FFFFFF"/>
        </w:rPr>
        <w:t xml:space="preserve"> Salem</w:t>
      </w:r>
      <w:r w:rsidRPr="00B5442D">
        <w:rPr>
          <w:rFonts w:asciiTheme="majorBidi" w:eastAsiaTheme="majorEastAsia" w:hAnsiTheme="majorBidi" w:cstheme="majorBidi"/>
          <w:sz w:val="24"/>
          <w:szCs w:val="24"/>
        </w:rPr>
        <w:t xml:space="preserve"> and  </w:t>
      </w:r>
      <w:proofErr w:type="spellStart"/>
      <w:r w:rsidRPr="00B5442D">
        <w:rPr>
          <w:rFonts w:asciiTheme="majorBidi" w:eastAsiaTheme="majorEastAsia" w:hAnsiTheme="majorBidi" w:cstheme="majorBidi"/>
          <w:sz w:val="24"/>
          <w:szCs w:val="24"/>
          <w:shd w:val="clear" w:color="auto" w:fill="FFFFFF"/>
        </w:rPr>
        <w:t>Fathe</w:t>
      </w:r>
      <w:proofErr w:type="spellEnd"/>
      <w:r w:rsidRPr="00B5442D">
        <w:rPr>
          <w:rFonts w:asciiTheme="majorBidi" w:eastAsiaTheme="majorEastAsia" w:hAnsiTheme="majorBidi" w:cstheme="majorBidi"/>
          <w:sz w:val="24"/>
          <w:szCs w:val="24"/>
          <w:shd w:val="clear" w:color="auto" w:fill="FFFFFF"/>
        </w:rPr>
        <w:t xml:space="preserve"> </w:t>
      </w:r>
      <w:proofErr w:type="spellStart"/>
      <w:r w:rsidRPr="00B5442D">
        <w:rPr>
          <w:rFonts w:asciiTheme="majorBidi" w:eastAsiaTheme="majorEastAsia" w:hAnsiTheme="majorBidi" w:cstheme="majorBidi"/>
          <w:sz w:val="24"/>
          <w:szCs w:val="24"/>
          <w:shd w:val="clear" w:color="auto" w:fill="FFFFFF"/>
        </w:rPr>
        <w:t>Abdaullah</w:t>
      </w:r>
      <w:proofErr w:type="spellEnd"/>
      <w:r w:rsidRPr="00B5442D">
        <w:rPr>
          <w:rFonts w:asciiTheme="majorBidi" w:eastAsiaTheme="majorEastAsia" w:hAnsiTheme="majorBidi" w:cstheme="majorBidi"/>
          <w:sz w:val="24"/>
          <w:szCs w:val="24"/>
          <w:shd w:val="clear" w:color="auto" w:fill="FFFFFF"/>
        </w:rPr>
        <w:t xml:space="preserve"> Ahmed</w:t>
      </w:r>
      <w:r w:rsidRPr="00B5442D">
        <w:rPr>
          <w:rFonts w:asciiTheme="majorBidi" w:eastAsiaTheme="majorEastAsia" w:hAnsiTheme="majorBidi" w:cstheme="majorBidi"/>
          <w:sz w:val="24"/>
          <w:szCs w:val="24"/>
        </w:rPr>
        <w:t>. Bact</w:t>
      </w:r>
      <w:r w:rsidRPr="00B5442D">
        <w:rPr>
          <w:rFonts w:asciiTheme="majorBidi" w:eastAsia="Times New Roman" w:hAnsiTheme="majorBidi" w:cstheme="majorBidi"/>
          <w:kern w:val="36"/>
          <w:sz w:val="24"/>
          <w:szCs w:val="24"/>
        </w:rPr>
        <w:t xml:space="preserve">erial </w:t>
      </w:r>
      <w:r w:rsidRPr="00B5442D">
        <w:rPr>
          <w:rFonts w:asciiTheme="majorBidi" w:eastAsia="Times New Roman" w:hAnsiTheme="majorBidi" w:cstheme="majorBidi"/>
          <w:color w:val="111111"/>
          <w:kern w:val="36"/>
          <w:sz w:val="24"/>
          <w:szCs w:val="24"/>
        </w:rPr>
        <w:t xml:space="preserve">Profile of Urinary Tract Infection and Antimicrobial Susceptibility Pattern Among Patients Attending at </w:t>
      </w:r>
      <w:proofErr w:type="spellStart"/>
      <w:r w:rsidRPr="00B5442D">
        <w:rPr>
          <w:rFonts w:asciiTheme="majorBidi" w:eastAsia="Times New Roman" w:hAnsiTheme="majorBidi" w:cstheme="majorBidi"/>
          <w:color w:val="111111"/>
          <w:kern w:val="36"/>
          <w:sz w:val="24"/>
          <w:szCs w:val="24"/>
        </w:rPr>
        <w:t>Bushra</w:t>
      </w:r>
      <w:proofErr w:type="spellEnd"/>
      <w:r w:rsidRPr="00B5442D">
        <w:rPr>
          <w:rFonts w:asciiTheme="majorBidi" w:eastAsia="Times New Roman" w:hAnsiTheme="majorBidi" w:cstheme="majorBidi"/>
          <w:color w:val="111111"/>
          <w:kern w:val="36"/>
          <w:sz w:val="24"/>
          <w:szCs w:val="24"/>
        </w:rPr>
        <w:t xml:space="preserve"> Medical Laboratory, Tripoli, Libya J of </w:t>
      </w:r>
      <w:hyperlink r:id="rId5" w:tgtFrame="_blank" w:history="1">
        <w:r w:rsidRPr="00B5442D">
          <w:rPr>
            <w:rFonts w:asciiTheme="majorBidi" w:eastAsiaTheme="majorEastAsia" w:hAnsiTheme="majorBidi" w:cstheme="majorBidi"/>
            <w:sz w:val="24"/>
            <w:szCs w:val="24"/>
            <w:bdr w:val="none" w:sz="0" w:space="0" w:color="auto" w:frame="1"/>
          </w:rPr>
          <w:t xml:space="preserve"> Gastroenterology and </w:t>
        </w:r>
        <w:proofErr w:type="spellStart"/>
        <w:r w:rsidRPr="00B5442D">
          <w:rPr>
            <w:rFonts w:asciiTheme="majorBidi" w:eastAsiaTheme="majorEastAsia" w:hAnsiTheme="majorBidi" w:cstheme="majorBidi"/>
            <w:sz w:val="24"/>
            <w:szCs w:val="24"/>
            <w:bdr w:val="none" w:sz="0" w:space="0" w:color="auto" w:frame="1"/>
          </w:rPr>
          <w:t>Hepatology</w:t>
        </w:r>
        <w:proofErr w:type="spellEnd"/>
        <w:r w:rsidRPr="00B5442D">
          <w:rPr>
            <w:rFonts w:asciiTheme="majorBidi" w:eastAsiaTheme="majorEastAsia" w:hAnsiTheme="majorBidi" w:cstheme="majorBidi"/>
            <w:sz w:val="24"/>
            <w:szCs w:val="24"/>
            <w:bdr w:val="none" w:sz="0" w:space="0" w:color="auto" w:frame="1"/>
          </w:rPr>
          <w:t xml:space="preserve"> Research</w:t>
        </w:r>
      </w:hyperlink>
      <w:r w:rsidRPr="00B5442D">
        <w:rPr>
          <w:rFonts w:asciiTheme="majorBidi" w:eastAsiaTheme="majorEastAsia" w:hAnsiTheme="majorBidi" w:cstheme="majorBidi"/>
          <w:sz w:val="24"/>
          <w:szCs w:val="24"/>
        </w:rPr>
        <w:t> 7(4):2671-2675 · August</w:t>
      </w:r>
      <w:r w:rsidRPr="00B5442D">
        <w:rPr>
          <w:rFonts w:asciiTheme="majorBidi" w:eastAsia="Times New Roman" w:hAnsiTheme="majorBidi" w:cstheme="majorBidi"/>
          <w:kern w:val="36"/>
          <w:sz w:val="24"/>
          <w:szCs w:val="24"/>
        </w:rPr>
        <w:t>.</w:t>
      </w:r>
    </w:p>
    <w:p w:rsidR="00B5442D" w:rsidRPr="00B5442D" w:rsidRDefault="00B5442D" w:rsidP="00B5442D">
      <w:pPr>
        <w:bidi w:val="0"/>
        <w:spacing w:line="360" w:lineRule="auto"/>
        <w:rPr>
          <w:rFonts w:asciiTheme="majorBidi" w:hAnsiTheme="majorBidi" w:cstheme="majorBidi"/>
          <w:sz w:val="24"/>
          <w:szCs w:val="24"/>
        </w:rPr>
      </w:pPr>
      <w:r w:rsidRPr="00B5442D">
        <w:rPr>
          <w:rFonts w:asciiTheme="majorBidi" w:hAnsiTheme="majorBidi" w:cstheme="majorBidi"/>
          <w:sz w:val="24"/>
          <w:szCs w:val="24"/>
        </w:rPr>
        <w:t>Tice AD. Short course therapy of acute cystitis: a brief review of therapeutic strategies. Journal of Antimicrobial Chemotherapy. 1999; 43: 85-93. [PMID: 10225577]; [DOI: 10.1093/</w:t>
      </w:r>
      <w:proofErr w:type="spellStart"/>
      <w:r w:rsidRPr="00B5442D">
        <w:rPr>
          <w:rFonts w:asciiTheme="majorBidi" w:hAnsiTheme="majorBidi" w:cstheme="majorBidi"/>
          <w:sz w:val="24"/>
          <w:szCs w:val="24"/>
        </w:rPr>
        <w:t>jac</w:t>
      </w:r>
      <w:proofErr w:type="spellEnd"/>
      <w:r w:rsidRPr="00B5442D">
        <w:rPr>
          <w:rFonts w:asciiTheme="majorBidi" w:hAnsiTheme="majorBidi" w:cstheme="majorBidi"/>
          <w:sz w:val="24"/>
          <w:szCs w:val="24"/>
        </w:rPr>
        <w:t xml:space="preserve">/43. suppl_1.85] </w:t>
      </w:r>
    </w:p>
    <w:p w:rsidR="00B5442D" w:rsidRPr="00B5442D" w:rsidRDefault="00B5442D" w:rsidP="00B5442D">
      <w:pPr>
        <w:bidi w:val="0"/>
        <w:spacing w:line="360" w:lineRule="auto"/>
        <w:rPr>
          <w:rFonts w:asciiTheme="majorBidi" w:hAnsiTheme="majorBidi" w:cstheme="majorBidi"/>
          <w:sz w:val="24"/>
          <w:szCs w:val="24"/>
        </w:rPr>
      </w:pPr>
      <w:r w:rsidRPr="00B5442D">
        <w:rPr>
          <w:rFonts w:asciiTheme="majorBidi" w:hAnsiTheme="majorBidi" w:cstheme="majorBidi"/>
          <w:sz w:val="24"/>
          <w:szCs w:val="24"/>
        </w:rPr>
        <w:t xml:space="preserve">Feld LG and </w:t>
      </w:r>
      <w:proofErr w:type="spellStart"/>
      <w:r w:rsidRPr="00B5442D">
        <w:rPr>
          <w:rFonts w:asciiTheme="majorBidi" w:hAnsiTheme="majorBidi" w:cstheme="majorBidi"/>
          <w:sz w:val="24"/>
          <w:szCs w:val="24"/>
        </w:rPr>
        <w:t>Mattoo</w:t>
      </w:r>
      <w:proofErr w:type="spellEnd"/>
      <w:r w:rsidRPr="00B5442D">
        <w:rPr>
          <w:rFonts w:asciiTheme="majorBidi" w:hAnsiTheme="majorBidi" w:cstheme="majorBidi"/>
          <w:sz w:val="24"/>
          <w:szCs w:val="24"/>
        </w:rPr>
        <w:t xml:space="preserve"> TK. Urinary Tract Infections and </w:t>
      </w:r>
      <w:proofErr w:type="spellStart"/>
      <w:r w:rsidRPr="00B5442D">
        <w:rPr>
          <w:rFonts w:asciiTheme="majorBidi" w:hAnsiTheme="majorBidi" w:cstheme="majorBidi"/>
          <w:sz w:val="24"/>
          <w:szCs w:val="24"/>
        </w:rPr>
        <w:t>Vesicoureteral</w:t>
      </w:r>
      <w:proofErr w:type="spellEnd"/>
      <w:r w:rsidRPr="00B5442D">
        <w:rPr>
          <w:rFonts w:asciiTheme="majorBidi" w:hAnsiTheme="majorBidi" w:cstheme="majorBidi"/>
          <w:sz w:val="24"/>
          <w:szCs w:val="24"/>
        </w:rPr>
        <w:t xml:space="preserve"> Reflux in Infants and Children. Pediatrics in Review. 2010; 31(11): 451-62. [DOI: 10.1542/pir.31-11-451]</w:t>
      </w:r>
    </w:p>
    <w:p w:rsidR="00B5442D" w:rsidRDefault="00B5442D" w:rsidP="00B5442D">
      <w:pPr>
        <w:jc w:val="center"/>
        <w:rPr>
          <w:rFonts w:asciiTheme="majorBidi" w:hAnsiTheme="majorBidi" w:cstheme="majorBidi"/>
          <w:color w:val="222222"/>
          <w:sz w:val="24"/>
          <w:szCs w:val="24"/>
          <w:shd w:val="clear" w:color="auto" w:fill="FFFFFF"/>
        </w:rPr>
      </w:pPr>
      <w:r w:rsidRPr="00B5442D">
        <w:rPr>
          <w:rFonts w:asciiTheme="majorBidi" w:hAnsiTheme="majorBidi" w:cstheme="majorBidi"/>
          <w:sz w:val="24"/>
          <w:szCs w:val="24"/>
        </w:rPr>
        <w:t xml:space="preserve">Heffner VA and </w:t>
      </w:r>
      <w:proofErr w:type="spellStart"/>
      <w:r w:rsidRPr="00B5442D">
        <w:rPr>
          <w:rFonts w:asciiTheme="majorBidi" w:hAnsiTheme="majorBidi" w:cstheme="majorBidi"/>
          <w:sz w:val="24"/>
          <w:szCs w:val="24"/>
        </w:rPr>
        <w:t>Gorelick</w:t>
      </w:r>
      <w:proofErr w:type="spellEnd"/>
      <w:r w:rsidRPr="00B5442D">
        <w:rPr>
          <w:rFonts w:asciiTheme="majorBidi" w:hAnsiTheme="majorBidi" w:cstheme="majorBidi"/>
          <w:sz w:val="24"/>
          <w:szCs w:val="24"/>
        </w:rPr>
        <w:t xml:space="preserve"> MH. Pediatric urinary tract infection. Clinical Pediatric Emergency Medicine. 2008; 9(4): 233-237. [DOI: 10.1016/j.cpem.2008.09.009]</w:t>
      </w:r>
      <w:r w:rsidRPr="00B5442D">
        <w:rPr>
          <w:rFonts w:asciiTheme="majorBidi" w:hAnsiTheme="majorBidi" w:cstheme="majorBidi"/>
          <w:color w:val="222222"/>
          <w:sz w:val="24"/>
          <w:szCs w:val="24"/>
          <w:shd w:val="clear" w:color="auto" w:fill="FFFFFF"/>
        </w:rPr>
        <w:t xml:space="preserve"> </w:t>
      </w:r>
    </w:p>
    <w:p w:rsidR="00B5442D" w:rsidRDefault="00B5442D" w:rsidP="00B5442D">
      <w:pPr>
        <w:jc w:val="center"/>
        <w:rPr>
          <w:rFonts w:asciiTheme="majorBidi" w:hAnsiTheme="majorBidi" w:cstheme="majorBidi"/>
          <w:color w:val="222222"/>
          <w:sz w:val="24"/>
          <w:szCs w:val="24"/>
          <w:shd w:val="clear" w:color="auto" w:fill="FFFFFF"/>
        </w:rPr>
      </w:pPr>
    </w:p>
    <w:p w:rsidR="00B5442D" w:rsidRPr="00BD407A" w:rsidRDefault="00690F58" w:rsidP="00690F58">
      <w:pPr>
        <w:jc w:val="right"/>
        <w:rPr>
          <w:rFonts w:asciiTheme="majorBidi" w:hAnsiTheme="majorBidi" w:cstheme="majorBidi"/>
          <w:sz w:val="24"/>
          <w:szCs w:val="24"/>
        </w:rPr>
      </w:pPr>
      <w:r>
        <w:rPr>
          <w:noProof/>
        </w:rPr>
        <w:drawing>
          <wp:inline distT="0" distB="0" distL="0" distR="0" wp14:anchorId="1B190C18" wp14:editId="2AF1B130">
            <wp:extent cx="705689" cy="719750"/>
            <wp:effectExtent l="31115" t="26035" r="30480" b="30480"/>
            <wp:docPr id="1" name="Picture 1" descr="C:\Users\NADawa9Nov13\Desktop\عدنان\٢٠١٩٠٤٠١_١٣٤١٢٩.jpg"/>
            <wp:cNvGraphicFramePr/>
            <a:graphic xmlns:a="http://schemas.openxmlformats.org/drawingml/2006/main">
              <a:graphicData uri="http://schemas.openxmlformats.org/drawingml/2006/picture">
                <pic:pic xmlns:pic="http://schemas.openxmlformats.org/drawingml/2006/picture">
                  <pic:nvPicPr>
                    <pic:cNvPr id="1" name="Picture 1" descr="C:\Users\NADawa9Nov13\Desktop\عدنان\٢٠١٩٠٤٠١_١٣٤١٢٩.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589499">
                      <a:off x="0" y="0"/>
                      <a:ext cx="706318" cy="720391"/>
                    </a:xfrm>
                    <a:prstGeom prst="rect">
                      <a:avLst/>
                    </a:prstGeom>
                    <a:noFill/>
                    <a:ln>
                      <a:noFill/>
                    </a:ln>
                  </pic:spPr>
                </pic:pic>
              </a:graphicData>
            </a:graphic>
          </wp:inline>
        </w:drawing>
      </w:r>
      <w:r>
        <w:rPr>
          <w:rFonts w:asciiTheme="majorBidi" w:hAnsiTheme="majorBidi" w:cstheme="majorBidi"/>
          <w:color w:val="222222"/>
          <w:sz w:val="24"/>
          <w:szCs w:val="24"/>
          <w:shd w:val="clear" w:color="auto" w:fill="FFFFFF"/>
        </w:rPr>
        <w:t xml:space="preserve">      </w:t>
      </w:r>
      <w:proofErr w:type="spellStart"/>
      <w:r w:rsidR="00B5442D" w:rsidRPr="00BD407A">
        <w:rPr>
          <w:rFonts w:asciiTheme="majorBidi" w:hAnsiTheme="majorBidi" w:cstheme="majorBidi"/>
          <w:color w:val="222222"/>
          <w:sz w:val="24"/>
          <w:szCs w:val="24"/>
          <w:shd w:val="clear" w:color="auto" w:fill="FFFFFF"/>
        </w:rPr>
        <w:t>Samia</w:t>
      </w:r>
      <w:proofErr w:type="spellEnd"/>
      <w:r w:rsidR="00B5442D" w:rsidRPr="00BD407A">
        <w:rPr>
          <w:rFonts w:asciiTheme="majorBidi" w:hAnsiTheme="majorBidi" w:cstheme="majorBidi"/>
          <w:color w:val="222222"/>
          <w:sz w:val="24"/>
          <w:szCs w:val="24"/>
          <w:shd w:val="clear" w:color="auto" w:fill="FFFFFF"/>
        </w:rPr>
        <w:t xml:space="preserve"> </w:t>
      </w:r>
      <w:proofErr w:type="spellStart"/>
      <w:r w:rsidR="00B5442D" w:rsidRPr="00BD407A">
        <w:rPr>
          <w:rFonts w:asciiTheme="majorBidi" w:hAnsiTheme="majorBidi" w:cstheme="majorBidi"/>
          <w:color w:val="222222"/>
          <w:sz w:val="24"/>
          <w:szCs w:val="24"/>
          <w:shd w:val="clear" w:color="auto" w:fill="FFFFFF"/>
        </w:rPr>
        <w:t>Elzwi</w:t>
      </w:r>
      <w:proofErr w:type="spellEnd"/>
      <w:r w:rsidR="00B5442D" w:rsidRPr="00BD407A">
        <w:rPr>
          <w:rFonts w:asciiTheme="majorBidi" w:hAnsiTheme="majorBidi" w:cstheme="majorBidi"/>
          <w:color w:val="222222"/>
          <w:sz w:val="24"/>
          <w:szCs w:val="24"/>
          <w:shd w:val="clear" w:color="auto" w:fill="FFFFFF"/>
        </w:rPr>
        <w:t xml:space="preserve"> and</w:t>
      </w:r>
      <w:r w:rsidR="00B5442D" w:rsidRPr="00BD407A">
        <w:rPr>
          <w:rFonts w:asciiTheme="majorBidi" w:hAnsiTheme="majorBidi" w:cstheme="majorBidi"/>
          <w:sz w:val="24"/>
          <w:szCs w:val="24"/>
        </w:rPr>
        <w:t xml:space="preserve"> Aisha Alfituri. </w:t>
      </w:r>
      <w:proofErr w:type="spellStart"/>
      <w:r w:rsidR="00B5442D" w:rsidRPr="00BD407A">
        <w:rPr>
          <w:rFonts w:asciiTheme="majorBidi" w:hAnsiTheme="majorBidi" w:cstheme="majorBidi"/>
          <w:sz w:val="24"/>
          <w:szCs w:val="24"/>
        </w:rPr>
        <w:t>M.B.Ch.B</w:t>
      </w:r>
      <w:proofErr w:type="spellEnd"/>
      <w:r w:rsidR="00B5442D" w:rsidRPr="00BD407A">
        <w:rPr>
          <w:rFonts w:asciiTheme="majorBidi" w:hAnsiTheme="majorBidi" w:cstheme="majorBidi"/>
          <w:sz w:val="24"/>
          <w:szCs w:val="24"/>
        </w:rPr>
        <w:t xml:space="preserve"> MSc</w:t>
      </w:r>
      <w:r w:rsidR="00B5442D" w:rsidRPr="00BD407A">
        <w:rPr>
          <w:rFonts w:asciiTheme="majorBidi" w:hAnsiTheme="majorBidi" w:cstheme="majorBidi"/>
          <w:sz w:val="24"/>
          <w:szCs w:val="24"/>
          <w:vertAlign w:val="superscript"/>
        </w:rPr>
        <w:t>1</w:t>
      </w:r>
      <w:r w:rsidR="00B5442D" w:rsidRPr="00BD407A">
        <w:rPr>
          <w:rFonts w:asciiTheme="majorBidi" w:hAnsiTheme="majorBidi" w:cstheme="majorBidi"/>
          <w:sz w:val="24"/>
          <w:szCs w:val="24"/>
        </w:rPr>
        <w:t>,  PhD</w:t>
      </w:r>
      <w:r w:rsidR="00B5442D" w:rsidRPr="00BD407A">
        <w:rPr>
          <w:rFonts w:asciiTheme="majorBidi" w:hAnsiTheme="majorBidi" w:cstheme="majorBidi"/>
          <w:sz w:val="24"/>
          <w:szCs w:val="24"/>
          <w:vertAlign w:val="superscript"/>
        </w:rPr>
        <w:t>2</w:t>
      </w:r>
      <w:r w:rsidR="00B5442D" w:rsidRPr="00BD407A">
        <w:rPr>
          <w:rFonts w:asciiTheme="majorBidi" w:hAnsiTheme="majorBidi" w:cstheme="majorBidi"/>
          <w:sz w:val="24"/>
          <w:szCs w:val="24"/>
        </w:rPr>
        <w:t>, lecturer at Department of Pharmacology, faculty of Medicine, Benghazi University,</w:t>
      </w:r>
    </w:p>
    <w:p w:rsidR="00B5442D" w:rsidRPr="00BD407A" w:rsidRDefault="00B5442D" w:rsidP="00B5442D">
      <w:pPr>
        <w:jc w:val="right"/>
        <w:rPr>
          <w:rFonts w:asciiTheme="majorBidi" w:hAnsiTheme="majorBidi" w:cstheme="majorBidi"/>
          <w:sz w:val="24"/>
          <w:szCs w:val="24"/>
          <w:lang w:bidi="ar-LY"/>
        </w:rPr>
      </w:pPr>
      <w:r w:rsidRPr="00BD407A">
        <w:rPr>
          <w:rFonts w:asciiTheme="majorBidi" w:hAnsiTheme="majorBidi" w:cstheme="majorBidi"/>
          <w:sz w:val="24"/>
          <w:szCs w:val="24"/>
        </w:rPr>
        <w:t>The 5</w:t>
      </w:r>
      <w:r w:rsidRPr="00BD407A">
        <w:rPr>
          <w:rFonts w:asciiTheme="majorBidi" w:hAnsiTheme="majorBidi" w:cstheme="majorBidi"/>
          <w:sz w:val="24"/>
          <w:szCs w:val="24"/>
          <w:vertAlign w:val="superscript"/>
        </w:rPr>
        <w:t>th</w:t>
      </w:r>
      <w:r w:rsidRPr="00BD407A">
        <w:rPr>
          <w:rFonts w:asciiTheme="majorBidi" w:hAnsiTheme="majorBidi" w:cstheme="majorBidi"/>
          <w:sz w:val="24"/>
          <w:szCs w:val="24"/>
        </w:rPr>
        <w:t xml:space="preserve"> Libyan conference of medical students and young doctors </w:t>
      </w:r>
      <w:proofErr w:type="spellStart"/>
      <w:r w:rsidRPr="00BD407A">
        <w:rPr>
          <w:rFonts w:asciiTheme="majorBidi" w:hAnsiTheme="majorBidi" w:cstheme="majorBidi"/>
          <w:sz w:val="24"/>
          <w:szCs w:val="24"/>
        </w:rPr>
        <w:t>misurata</w:t>
      </w:r>
      <w:proofErr w:type="spellEnd"/>
      <w:r w:rsidRPr="00BD407A">
        <w:rPr>
          <w:rFonts w:asciiTheme="majorBidi" w:hAnsiTheme="majorBidi" w:cstheme="majorBidi"/>
          <w:sz w:val="24"/>
          <w:szCs w:val="24"/>
        </w:rPr>
        <w:t xml:space="preserve"> Libya 17-20 4 2010</w:t>
      </w:r>
    </w:p>
    <w:p w:rsidR="00B5442D" w:rsidRDefault="00B5442D" w:rsidP="00B5442D">
      <w:pPr>
        <w:jc w:val="right"/>
        <w:rPr>
          <w:rFonts w:asciiTheme="majorBidi" w:hAnsiTheme="majorBidi" w:cstheme="majorBidi"/>
          <w:sz w:val="24"/>
          <w:szCs w:val="24"/>
          <w:lang w:bidi="ar-LY"/>
        </w:rPr>
      </w:pPr>
      <w:r w:rsidRPr="00BD407A">
        <w:rPr>
          <w:rFonts w:asciiTheme="majorBidi" w:hAnsiTheme="majorBidi" w:cstheme="majorBidi"/>
          <w:sz w:val="24"/>
          <w:szCs w:val="24"/>
          <w:lang w:bidi="ar-LY"/>
        </w:rPr>
        <w:lastRenderedPageBreak/>
        <w:t>The 16</w:t>
      </w:r>
      <w:r w:rsidRPr="00BD407A">
        <w:rPr>
          <w:rFonts w:asciiTheme="majorBidi" w:hAnsiTheme="majorBidi" w:cstheme="majorBidi"/>
          <w:sz w:val="24"/>
          <w:szCs w:val="24"/>
          <w:vertAlign w:val="superscript"/>
          <w:lang w:bidi="ar-LY"/>
        </w:rPr>
        <w:t>th</w:t>
      </w:r>
      <w:r w:rsidRPr="00BD407A">
        <w:rPr>
          <w:rFonts w:asciiTheme="majorBidi" w:hAnsiTheme="majorBidi" w:cstheme="majorBidi"/>
          <w:sz w:val="24"/>
          <w:szCs w:val="24"/>
          <w:lang w:bidi="ar-LY"/>
        </w:rPr>
        <w:t xml:space="preserve"> Arabic conference for pharmacy in 2013, error in </w:t>
      </w:r>
      <w:r w:rsidR="00BD407A" w:rsidRPr="00BD407A">
        <w:rPr>
          <w:rFonts w:asciiTheme="majorBidi" w:hAnsiTheme="majorBidi" w:cstheme="majorBidi"/>
          <w:sz w:val="24"/>
          <w:szCs w:val="24"/>
          <w:lang w:bidi="ar-LY"/>
        </w:rPr>
        <w:t>prescription</w:t>
      </w:r>
      <w:r w:rsidRPr="00BD407A">
        <w:rPr>
          <w:rFonts w:asciiTheme="majorBidi" w:hAnsiTheme="majorBidi" w:cstheme="majorBidi"/>
          <w:sz w:val="24"/>
          <w:szCs w:val="24"/>
          <w:lang w:bidi="ar-LY"/>
        </w:rPr>
        <w:t xml:space="preserve"> writhing from two </w:t>
      </w:r>
      <w:r w:rsidR="00BD407A" w:rsidRPr="00BD407A">
        <w:rPr>
          <w:rFonts w:asciiTheme="majorBidi" w:hAnsiTheme="majorBidi" w:cstheme="majorBidi"/>
          <w:sz w:val="24"/>
          <w:szCs w:val="24"/>
          <w:lang w:bidi="ar-LY"/>
        </w:rPr>
        <w:t>pediatric</w:t>
      </w:r>
      <w:r w:rsidRPr="00BD407A">
        <w:rPr>
          <w:rFonts w:asciiTheme="majorBidi" w:hAnsiTheme="majorBidi" w:cstheme="majorBidi"/>
          <w:sz w:val="24"/>
          <w:szCs w:val="24"/>
          <w:lang w:bidi="ar-LY"/>
        </w:rPr>
        <w:t xml:space="preserve"> hospital in Benghazi</w:t>
      </w:r>
      <w:r w:rsidR="00BD407A">
        <w:rPr>
          <w:rFonts w:asciiTheme="majorBidi" w:hAnsiTheme="majorBidi" w:cstheme="majorBidi"/>
          <w:sz w:val="24"/>
          <w:szCs w:val="24"/>
          <w:lang w:bidi="ar-LY"/>
        </w:rPr>
        <w:t>.</w:t>
      </w:r>
    </w:p>
    <w:p w:rsidR="00690F58" w:rsidRDefault="00690F58" w:rsidP="00B5442D">
      <w:pPr>
        <w:jc w:val="right"/>
        <w:rPr>
          <w:rFonts w:asciiTheme="majorBidi" w:hAnsiTheme="majorBidi" w:cstheme="majorBidi"/>
          <w:sz w:val="24"/>
          <w:szCs w:val="24"/>
          <w:lang w:bidi="ar-LY"/>
        </w:rPr>
      </w:pPr>
      <w:r>
        <w:rPr>
          <w:rFonts w:asciiTheme="majorBidi" w:hAnsiTheme="majorBidi" w:cstheme="majorBidi"/>
          <w:sz w:val="24"/>
          <w:szCs w:val="24"/>
          <w:lang w:bidi="ar-LY"/>
        </w:rPr>
        <w:t xml:space="preserve">Prevalence if vitamin d deficiency among hypothyroid patients in Benghazi medical center </w:t>
      </w:r>
      <w:bookmarkStart w:id="0" w:name="_GoBack"/>
      <w:bookmarkEnd w:id="0"/>
    </w:p>
    <w:p w:rsidR="00BD407A" w:rsidRDefault="00BD407A" w:rsidP="00B5442D">
      <w:pPr>
        <w:jc w:val="right"/>
        <w:rPr>
          <w:rFonts w:asciiTheme="majorBidi" w:hAnsiTheme="majorBidi" w:cstheme="majorBidi"/>
          <w:sz w:val="24"/>
          <w:szCs w:val="24"/>
          <w:lang w:bidi="ar-LY"/>
        </w:rPr>
      </w:pPr>
      <w:r>
        <w:rPr>
          <w:rFonts w:asciiTheme="majorBidi" w:hAnsiTheme="majorBidi" w:cstheme="majorBidi"/>
          <w:sz w:val="24"/>
          <w:szCs w:val="24"/>
          <w:lang w:bidi="ar-LY"/>
        </w:rPr>
        <w:t>Paper in outcome of iron and folic acid intake during pregnancy  2013</w:t>
      </w:r>
    </w:p>
    <w:p w:rsidR="00BD407A" w:rsidRPr="00B5442D" w:rsidRDefault="00BD407A" w:rsidP="00B5442D">
      <w:pPr>
        <w:jc w:val="right"/>
        <w:rPr>
          <w:rFonts w:asciiTheme="majorBidi" w:hAnsiTheme="majorBidi" w:cstheme="majorBidi"/>
          <w:sz w:val="24"/>
          <w:szCs w:val="24"/>
          <w:lang w:bidi="ar-LY"/>
        </w:rPr>
      </w:pPr>
    </w:p>
    <w:p w:rsidR="00B5442D" w:rsidRDefault="00B5442D" w:rsidP="00B5442D">
      <w:pPr>
        <w:bidi w:val="0"/>
        <w:spacing w:line="360" w:lineRule="auto"/>
        <w:rPr>
          <w:rFonts w:asciiTheme="majorBidi" w:hAnsiTheme="majorBidi" w:cstheme="majorBidi"/>
          <w:sz w:val="24"/>
          <w:szCs w:val="24"/>
        </w:rPr>
      </w:pPr>
    </w:p>
    <w:p w:rsidR="00B5442D" w:rsidRPr="00B5442D" w:rsidRDefault="00B5442D" w:rsidP="00B5442D">
      <w:pPr>
        <w:bidi w:val="0"/>
        <w:spacing w:line="360" w:lineRule="auto"/>
        <w:rPr>
          <w:rFonts w:asciiTheme="majorBidi" w:hAnsiTheme="majorBidi" w:cstheme="majorBidi"/>
          <w:sz w:val="24"/>
          <w:szCs w:val="24"/>
        </w:rPr>
      </w:pPr>
    </w:p>
    <w:p w:rsidR="00AD0BB1" w:rsidRDefault="00AD0BB1" w:rsidP="00AD0BB1">
      <w:pPr>
        <w:spacing w:line="360" w:lineRule="auto"/>
        <w:jc w:val="right"/>
        <w:rPr>
          <w:rFonts w:asciiTheme="majorBidi" w:hAnsiTheme="majorBidi" w:cstheme="majorBidi"/>
          <w:color w:val="222222"/>
          <w:sz w:val="24"/>
          <w:szCs w:val="24"/>
          <w:shd w:val="clear" w:color="auto" w:fill="FFFFFF"/>
          <w:rtl/>
          <w:lang w:bidi="ar-LY"/>
        </w:rPr>
      </w:pPr>
    </w:p>
    <w:p w:rsidR="00B5442D" w:rsidRPr="00AD0BB1" w:rsidRDefault="00B5442D" w:rsidP="00AD0BB1">
      <w:pPr>
        <w:spacing w:line="360" w:lineRule="auto"/>
        <w:jc w:val="right"/>
        <w:rPr>
          <w:rFonts w:asciiTheme="majorBidi" w:hAnsiTheme="majorBidi" w:cstheme="majorBidi"/>
          <w:color w:val="222222"/>
          <w:sz w:val="24"/>
          <w:szCs w:val="24"/>
          <w:shd w:val="clear" w:color="auto" w:fill="FFFFFF"/>
          <w:rtl/>
          <w:lang w:bidi="ar-LY"/>
        </w:rPr>
      </w:pPr>
    </w:p>
    <w:sectPr w:rsidR="00B5442D" w:rsidRPr="00AD0BB1" w:rsidSect="009A2B3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4C4"/>
    <w:rsid w:val="00141F65"/>
    <w:rsid w:val="00690F58"/>
    <w:rsid w:val="008134C4"/>
    <w:rsid w:val="009A2B3A"/>
    <w:rsid w:val="009B7FAC"/>
    <w:rsid w:val="00AD0BB1"/>
    <w:rsid w:val="00B5442D"/>
    <w:rsid w:val="00BD40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B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F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B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F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researchgate.net/journal/2224-6509_Journal_of_Gastroenterology_and_Hepatology_Resea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NADawa</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ECS</dc:creator>
  <cp:keywords/>
  <dc:description/>
  <cp:lastModifiedBy>ECS</cp:lastModifiedBy>
  <cp:revision>4</cp:revision>
  <dcterms:created xsi:type="dcterms:W3CDTF">2019-12-13T10:57:00Z</dcterms:created>
  <dcterms:modified xsi:type="dcterms:W3CDTF">2019-12-13T14:48:00Z</dcterms:modified>
</cp:coreProperties>
</file>