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3A5CFE" w14:textId="77777777" w:rsidR="00AE3E37" w:rsidRDefault="00E50D54" w:rsidP="00494130">
      <w:pPr>
        <w:pStyle w:val="Heading1"/>
        <w:spacing w:before="170"/>
        <w:ind w:left="0"/>
      </w:pPr>
      <w:r>
        <w:rPr>
          <w:color w:val="337AB7"/>
        </w:rPr>
        <w:t>Regulation of TCR-coupled signaling pathways by Crk adaptor proteins</w:t>
      </w:r>
    </w:p>
    <w:p w14:paraId="5FD129F9" w14:textId="77777777" w:rsidR="00653147" w:rsidRDefault="00653147" w:rsidP="00653147">
      <w:pPr>
        <w:rPr>
          <w:rFonts w:ascii="Arial" w:hAnsi="Arial" w:cs="Arial"/>
          <w:b/>
          <w:bCs/>
          <w:iCs/>
          <w:sz w:val="18"/>
          <w:szCs w:val="18"/>
        </w:rPr>
      </w:pPr>
    </w:p>
    <w:p w14:paraId="3933EF95" w14:textId="7D009EA4" w:rsidR="00653147" w:rsidRPr="00653147" w:rsidRDefault="00653147" w:rsidP="00653147">
      <w:pPr>
        <w:rPr>
          <w:rFonts w:ascii="Arial" w:hAnsi="Arial" w:cs="Arial"/>
          <w:b/>
          <w:sz w:val="18"/>
          <w:szCs w:val="18"/>
        </w:rPr>
      </w:pPr>
      <w:r w:rsidRPr="00653147">
        <w:rPr>
          <w:rFonts w:ascii="Arial" w:hAnsi="Arial" w:cs="Arial"/>
          <w:b/>
          <w:sz w:val="18"/>
          <w:szCs w:val="18"/>
        </w:rPr>
        <w:t>Noah Isakov</w:t>
      </w:r>
    </w:p>
    <w:p w14:paraId="187AF043" w14:textId="77777777" w:rsidR="00653147" w:rsidRPr="00653147" w:rsidRDefault="00653147" w:rsidP="00653147">
      <w:pPr>
        <w:rPr>
          <w:rFonts w:ascii="Arial" w:hAnsi="Arial" w:cs="Arial"/>
          <w:b/>
          <w:sz w:val="18"/>
          <w:szCs w:val="18"/>
        </w:rPr>
      </w:pPr>
    </w:p>
    <w:p w14:paraId="3F5FF89B" w14:textId="77777777" w:rsidR="00653147" w:rsidRPr="00653147" w:rsidRDefault="00653147" w:rsidP="00653147">
      <w:pPr>
        <w:rPr>
          <w:rFonts w:ascii="Arial" w:hAnsi="Arial" w:cs="Arial"/>
          <w:bCs/>
          <w:sz w:val="18"/>
          <w:szCs w:val="18"/>
        </w:rPr>
      </w:pPr>
      <w:r w:rsidRPr="00653147">
        <w:rPr>
          <w:rFonts w:ascii="Arial" w:hAnsi="Arial" w:cs="Arial"/>
          <w:b/>
          <w:sz w:val="18"/>
          <w:szCs w:val="18"/>
        </w:rPr>
        <w:t>The Shraga Segal</w:t>
      </w:r>
      <w:r w:rsidRPr="00653147">
        <w:rPr>
          <w:rFonts w:ascii="Arial" w:hAnsi="Arial" w:cs="Arial"/>
          <w:sz w:val="18"/>
          <w:szCs w:val="18"/>
        </w:rPr>
        <w:t xml:space="preserve"> Department of Microbiology, Immunology and Genetics, Faculty of Health Sciences and the Cancer Research Center, Ben Gurion University of the Negev, P.O.B. 653, Beer Sheva 84105, Israel.</w:t>
      </w:r>
    </w:p>
    <w:p w14:paraId="1F729198" w14:textId="77777777" w:rsidR="00AE3E37" w:rsidRDefault="00AE3E37">
      <w:pPr>
        <w:pStyle w:val="BodyText"/>
        <w:rPr>
          <w:rFonts w:ascii="Arial"/>
          <w:sz w:val="20"/>
        </w:rPr>
      </w:pPr>
    </w:p>
    <w:p w14:paraId="094835A3" w14:textId="77777777" w:rsidR="00AE3E37" w:rsidRDefault="00AE3E37">
      <w:pPr>
        <w:pStyle w:val="BodyText"/>
        <w:spacing w:before="3"/>
        <w:rPr>
          <w:rFonts w:ascii="Arial"/>
          <w:sz w:val="21"/>
        </w:rPr>
      </w:pPr>
    </w:p>
    <w:p w14:paraId="323E5148"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1BC1114C" w14:textId="76442339" w:rsidR="00AE3E37" w:rsidRDefault="00A9710C" w:rsidP="00C424F7">
      <w:pPr>
        <w:pStyle w:val="Heading3"/>
        <w:spacing w:before="147"/>
        <w:ind w:left="0"/>
        <w:jc w:val="both"/>
      </w:pPr>
      <w:r>
        <w:rPr>
          <w:color w:val="BF5A14"/>
        </w:rPr>
        <w:lastRenderedPageBreak/>
        <w:t>Abstract</w:t>
      </w:r>
      <w:r w:rsidR="00404E5B">
        <w:rPr>
          <w:color w:val="BF5A14"/>
        </w:rPr>
        <w:t xml:space="preserve"> </w:t>
      </w:r>
    </w:p>
    <w:p w14:paraId="1871A37D" w14:textId="5294F19C" w:rsidR="00653147" w:rsidRPr="007C7E1E" w:rsidRDefault="00653147" w:rsidP="00C424F7">
      <w:pPr>
        <w:pStyle w:val="Default"/>
        <w:jc w:val="both"/>
        <w:rPr>
          <w:rFonts w:ascii="Tw Cen MT" w:eastAsia="Times New Roman" w:hAnsi="Tw Cen MT" w:cs="Times New Roman"/>
          <w:sz w:val="18"/>
          <w:szCs w:val="18"/>
        </w:rPr>
      </w:pPr>
      <w:r w:rsidRPr="007C7E1E">
        <w:rPr>
          <w:rFonts w:ascii="Tw Cen MT" w:hAnsi="Tw Cen MT" w:cs="Times New Roman"/>
          <w:color w:val="211D1E"/>
          <w:sz w:val="18"/>
          <w:szCs w:val="18"/>
        </w:rPr>
        <w:t xml:space="preserve">Cellular responses to environmental cues are controlled by cell surface receptors that are functionally linked to intracellular networks of signal transduction pathways. A hallmark of these signaling pathways is the temporal and spatial assembly of multimolecular complexes at the site of the </w:t>
      </w:r>
      <w:proofErr w:type="gramStart"/>
      <w:r w:rsidRPr="007C7E1E">
        <w:rPr>
          <w:rFonts w:ascii="Tw Cen MT" w:hAnsi="Tw Cen MT" w:cs="Times New Roman"/>
          <w:color w:val="211D1E"/>
          <w:sz w:val="18"/>
          <w:szCs w:val="18"/>
        </w:rPr>
        <w:t>engaged</w:t>
      </w:r>
      <w:proofErr w:type="gramEnd"/>
      <w:r w:rsidRPr="007C7E1E">
        <w:rPr>
          <w:rFonts w:ascii="Tw Cen MT" w:hAnsi="Tw Cen MT" w:cs="Times New Roman"/>
          <w:color w:val="211D1E"/>
          <w:sz w:val="18"/>
          <w:szCs w:val="18"/>
        </w:rPr>
        <w:t xml:space="preserve"> receptors. Formation of these complexes is regulated by conformational changes and posttranslational modification of the activated receptors, as well as scaffold and adaptor proteins, which create docking sites for effector molecules, predominantly enzymes and their substrate proteins. </w:t>
      </w:r>
      <w:r w:rsidRPr="007C7E1E">
        <w:rPr>
          <w:rFonts w:ascii="Tw Cen MT" w:eastAsia="Times New Roman" w:hAnsi="Tw Cen MT" w:cs="Times New Roman"/>
          <w:sz w:val="18"/>
          <w:szCs w:val="18"/>
        </w:rPr>
        <w:t xml:space="preserve">The Crk adaptor proteins constitute an integral part of many receptor-coupled signaling networks, thanks to their Src homology 2 (SH2) and SH3 protein-protein binding domains, which enables the interaction with activated receptors and with effector molecules that recruit to the receptor site. A viral form of Crk (v-Crk) is also involved in oncogenesis, while cellular Crk can serve as </w:t>
      </w:r>
      <w:r w:rsidRPr="007C7E1E">
        <w:rPr>
          <w:rFonts w:ascii="Tw Cen MT" w:hAnsi="Tw Cen MT" w:cs="Times New Roman"/>
          <w:color w:val="211D1E"/>
          <w:sz w:val="18"/>
          <w:szCs w:val="18"/>
        </w:rPr>
        <w:t xml:space="preserve">preferred targets for a number of cell-invading pathogens. Thus, the Crk proteins contribute to bacterial pathogenesis by promoting their entry into cells, and serve as targets for virulence factors that </w:t>
      </w:r>
      <w:r w:rsidRPr="007C7E1E">
        <w:rPr>
          <w:rFonts w:ascii="Tw Cen MT" w:eastAsia="Times New Roman" w:hAnsi="Tw Cen MT" w:cs="Times New Roman"/>
          <w:sz w:val="18"/>
          <w:szCs w:val="18"/>
          <w:shd w:val="clear" w:color="auto" w:fill="FFFFFF"/>
        </w:rPr>
        <w:t>divert host cell signaling pathways to the benefit of the pathogen.</w:t>
      </w:r>
    </w:p>
    <w:p w14:paraId="5A999FD1" w14:textId="77777777" w:rsidR="00653147" w:rsidRPr="007C7E1E" w:rsidRDefault="00653147" w:rsidP="00C424F7">
      <w:pPr>
        <w:jc w:val="both"/>
        <w:rPr>
          <w:rFonts w:cs="Times New Roman"/>
          <w:sz w:val="18"/>
          <w:szCs w:val="18"/>
        </w:rPr>
      </w:pPr>
      <w:r w:rsidRPr="007C7E1E">
        <w:rPr>
          <w:rFonts w:cs="Times New Roman"/>
          <w:sz w:val="18"/>
          <w:szCs w:val="18"/>
        </w:rPr>
        <w:t>We found that TCR/CD3 crosslinking in Jurkat T cells promotes the association of Crk adaptor proteins with the transiently phosphorylated CD3</w:t>
      </w:r>
      <w:r w:rsidRPr="007C7E1E">
        <w:rPr>
          <w:rFonts w:ascii="Times New Roman" w:hAnsi="Times New Roman" w:cs="Times New Roman"/>
          <w:sz w:val="18"/>
          <w:szCs w:val="18"/>
        </w:rPr>
        <w:t>ζ</w:t>
      </w:r>
      <w:r w:rsidRPr="007C7E1E">
        <w:rPr>
          <w:rFonts w:cs="Times New Roman"/>
          <w:sz w:val="18"/>
          <w:szCs w:val="18"/>
        </w:rPr>
        <w:t xml:space="preserve"> chain. Binding studies and pull down assays revealed that the Crk-SH2 domain mediates binding of phospho-CD3</w:t>
      </w:r>
      <w:r w:rsidRPr="007C7E1E">
        <w:rPr>
          <w:rFonts w:ascii="Times New Roman" w:hAnsi="Times New Roman" w:cs="Times New Roman"/>
          <w:sz w:val="18"/>
          <w:szCs w:val="18"/>
        </w:rPr>
        <w:t>ζ</w:t>
      </w:r>
      <w:r w:rsidRPr="007C7E1E">
        <w:rPr>
          <w:rFonts w:cs="Times New Roman"/>
          <w:sz w:val="18"/>
          <w:szCs w:val="18"/>
        </w:rPr>
        <w:t>. Crk-mediated binding of phospho-CD3</w:t>
      </w:r>
      <w:r w:rsidRPr="007C7E1E">
        <w:rPr>
          <w:rFonts w:ascii="Times New Roman" w:hAnsi="Times New Roman" w:cs="Times New Roman"/>
          <w:sz w:val="18"/>
          <w:szCs w:val="18"/>
        </w:rPr>
        <w:t>ζ</w:t>
      </w:r>
      <w:r w:rsidRPr="007C7E1E">
        <w:rPr>
          <w:rFonts w:cs="Times New Roman"/>
          <w:sz w:val="18"/>
          <w:szCs w:val="18"/>
        </w:rPr>
        <w:t xml:space="preserve"> is selective and is not mediated by other SH2 domain-containing adaptor proteins, including Grb2, GRAP and Nck. Our results support the involvement of Crk adaptor proteins in the early steps of T cell activation and suggest a role for Crk in the recruitment of signaling proteins to the activated TCR where Crk might contribute to the fine-tuning of the TCR/CD3-coupled signal transduction pathways. </w:t>
      </w:r>
    </w:p>
    <w:p w14:paraId="0C51CFA8" w14:textId="69B663E9" w:rsidR="00AE3E37" w:rsidRDefault="00A9710C">
      <w:pPr>
        <w:pStyle w:val="Heading3"/>
        <w:spacing w:before="74"/>
      </w:pPr>
      <w:r>
        <w:rPr>
          <w:b w:val="0"/>
        </w:rPr>
        <w:br w:type="column"/>
      </w:r>
    </w:p>
    <w:p w14:paraId="18AD255C" w14:textId="018FAB2A" w:rsidR="005973B9" w:rsidRDefault="005973B9" w:rsidP="00C424F7">
      <w:pPr>
        <w:spacing w:line="204" w:lineRule="exact"/>
        <w:ind w:left="142"/>
        <w:rPr>
          <w:rFonts w:ascii="Arial"/>
          <w:b/>
          <w:color w:val="BF5A14"/>
          <w:sz w:val="20"/>
        </w:rPr>
      </w:pPr>
      <w:r>
        <w:rPr>
          <w:rFonts w:ascii="Arial"/>
          <w:b/>
          <w:color w:val="BF5A14"/>
          <w:sz w:val="20"/>
        </w:rPr>
        <w:t xml:space="preserve">Recent Publications </w:t>
      </w:r>
    </w:p>
    <w:p w14:paraId="3D3D39BB" w14:textId="77777777" w:rsidR="00653147" w:rsidRDefault="00653147" w:rsidP="00C424F7">
      <w:pPr>
        <w:spacing w:line="204" w:lineRule="exact"/>
        <w:ind w:left="142"/>
        <w:rPr>
          <w:rFonts w:ascii="Arial"/>
          <w:b/>
          <w:sz w:val="20"/>
        </w:rPr>
      </w:pPr>
    </w:p>
    <w:p w14:paraId="4302ABE5" w14:textId="434AD554" w:rsidR="00653147" w:rsidRPr="00EE077D" w:rsidRDefault="00C424F7" w:rsidP="00C424F7">
      <w:pPr>
        <w:tabs>
          <w:tab w:val="left" w:pos="567"/>
        </w:tabs>
        <w:ind w:left="426" w:hanging="284"/>
        <w:jc w:val="both"/>
        <w:rPr>
          <w:rFonts w:asciiTheme="minorHAnsi" w:hAnsiTheme="minorHAnsi"/>
          <w:bCs/>
          <w:iCs/>
          <w:sz w:val="18"/>
          <w:szCs w:val="18"/>
          <w:vertAlign w:val="superscript"/>
        </w:rPr>
      </w:pPr>
      <w:r w:rsidRPr="00EE077D">
        <w:rPr>
          <w:rFonts w:asciiTheme="minorHAnsi" w:hAnsiTheme="minorHAnsi"/>
          <w:bCs/>
          <w:iCs/>
          <w:sz w:val="18"/>
          <w:szCs w:val="18"/>
        </w:rPr>
        <w:t>1.</w:t>
      </w:r>
      <w:r w:rsidRPr="00EE077D">
        <w:rPr>
          <w:rFonts w:asciiTheme="minorHAnsi" w:hAnsiTheme="minorHAnsi"/>
          <w:bCs/>
          <w:iCs/>
          <w:sz w:val="18"/>
          <w:szCs w:val="18"/>
        </w:rPr>
        <w:tab/>
      </w:r>
      <w:r w:rsidR="00653147" w:rsidRPr="00EE077D">
        <w:rPr>
          <w:rFonts w:asciiTheme="minorHAnsi" w:hAnsiTheme="minorHAnsi"/>
          <w:bCs/>
          <w:iCs/>
          <w:sz w:val="18"/>
          <w:szCs w:val="18"/>
        </w:rPr>
        <w:t>Nath, R.P., Dong, G.</w:t>
      </w:r>
      <w:r w:rsidR="00653147" w:rsidRPr="00EE077D">
        <w:rPr>
          <w:rFonts w:asciiTheme="minorHAnsi" w:hAnsiTheme="minorHAnsi"/>
          <w:bCs/>
          <w:sz w:val="18"/>
          <w:szCs w:val="18"/>
        </w:rPr>
        <w:t xml:space="preserve">, </w:t>
      </w:r>
      <w:r w:rsidR="00653147" w:rsidRPr="00EE077D">
        <w:rPr>
          <w:rFonts w:asciiTheme="minorHAnsi" w:hAnsiTheme="minorHAnsi"/>
          <w:bCs/>
          <w:iCs/>
          <w:sz w:val="18"/>
          <w:szCs w:val="18"/>
        </w:rPr>
        <w:t>Braiman, A. and Isakov, N. 2014.</w:t>
      </w:r>
      <w:r w:rsidR="00653147" w:rsidRPr="00EE077D">
        <w:rPr>
          <w:rFonts w:asciiTheme="minorHAnsi" w:hAnsiTheme="minorHAnsi"/>
          <w:bCs/>
          <w:iCs/>
          <w:sz w:val="18"/>
          <w:szCs w:val="18"/>
          <w:vertAlign w:val="superscript"/>
        </w:rPr>
        <w:t xml:space="preserve"> </w:t>
      </w:r>
      <w:r w:rsidR="00653147" w:rsidRPr="00EE077D">
        <w:rPr>
          <w:rFonts w:asciiTheme="minorHAnsi" w:hAnsiTheme="minorHAnsi" w:cs="Helvetica Neue"/>
          <w:bCs/>
          <w:color w:val="343434"/>
          <w:sz w:val="18"/>
          <w:szCs w:val="18"/>
        </w:rPr>
        <w:t>Immunophilins Control T Lymphocyte Adhesion and Migration by Regulating CrkII Binding to C3G</w:t>
      </w:r>
      <w:r w:rsidR="00653147" w:rsidRPr="00EE077D">
        <w:rPr>
          <w:rFonts w:asciiTheme="minorHAnsi" w:hAnsiTheme="minorHAnsi"/>
          <w:bCs/>
          <w:iCs/>
          <w:sz w:val="18"/>
          <w:szCs w:val="18"/>
          <w:vertAlign w:val="superscript"/>
        </w:rPr>
        <w:t xml:space="preserve">. </w:t>
      </w:r>
      <w:r w:rsidR="00653147" w:rsidRPr="00EE077D">
        <w:rPr>
          <w:rFonts w:asciiTheme="minorHAnsi" w:hAnsiTheme="minorHAnsi"/>
          <w:i/>
          <w:sz w:val="18"/>
          <w:szCs w:val="18"/>
        </w:rPr>
        <w:t>J. Immunol.</w:t>
      </w:r>
      <w:r w:rsidR="00653147" w:rsidRPr="00EE077D">
        <w:rPr>
          <w:rFonts w:asciiTheme="minorHAnsi" w:hAnsiTheme="minorHAnsi"/>
          <w:sz w:val="18"/>
          <w:szCs w:val="18"/>
        </w:rPr>
        <w:t xml:space="preserve"> 193:3966-3977.</w:t>
      </w:r>
      <w:r w:rsidR="00653147" w:rsidRPr="00EE077D">
        <w:rPr>
          <w:rFonts w:asciiTheme="minorHAnsi" w:hAnsiTheme="minorHAnsi"/>
          <w:bCs/>
          <w:iCs/>
          <w:sz w:val="18"/>
          <w:szCs w:val="18"/>
          <w:vertAlign w:val="superscript"/>
        </w:rPr>
        <w:t xml:space="preserve"> </w:t>
      </w:r>
      <w:r w:rsidR="00653147" w:rsidRPr="00EE077D">
        <w:rPr>
          <w:rFonts w:asciiTheme="minorHAnsi" w:hAnsiTheme="minorHAnsi" w:cs="Helvetica Neue"/>
          <w:sz w:val="18"/>
          <w:szCs w:val="18"/>
        </w:rPr>
        <w:t>DOI: 10.4049/</w:t>
      </w:r>
      <w:r w:rsidRPr="00EE077D">
        <w:rPr>
          <w:rFonts w:asciiTheme="minorHAnsi" w:hAnsiTheme="minorHAnsi" w:cs="Helvetica Neue"/>
          <w:sz w:val="18"/>
          <w:szCs w:val="18"/>
        </w:rPr>
        <w:t xml:space="preserve"> </w:t>
      </w:r>
      <w:r w:rsidR="00653147" w:rsidRPr="00EE077D">
        <w:rPr>
          <w:rFonts w:asciiTheme="minorHAnsi" w:hAnsiTheme="minorHAnsi" w:cs="Helvetica Neue"/>
          <w:sz w:val="18"/>
          <w:szCs w:val="18"/>
        </w:rPr>
        <w:t>jimmunol.1303485.</w:t>
      </w:r>
    </w:p>
    <w:p w14:paraId="58895B7D" w14:textId="77777777" w:rsidR="00653147" w:rsidRPr="00EE077D" w:rsidRDefault="00653147" w:rsidP="00C424F7">
      <w:pPr>
        <w:autoSpaceDE w:val="0"/>
        <w:autoSpaceDN w:val="0"/>
        <w:adjustRightInd w:val="0"/>
        <w:ind w:left="142"/>
        <w:jc w:val="both"/>
        <w:rPr>
          <w:rFonts w:asciiTheme="minorHAnsi" w:hAnsiTheme="minorHAnsi"/>
          <w:sz w:val="18"/>
          <w:szCs w:val="18"/>
        </w:rPr>
      </w:pPr>
    </w:p>
    <w:p w14:paraId="2887A872" w14:textId="49D69943" w:rsidR="00653147" w:rsidRPr="00EE077D" w:rsidRDefault="00C424F7" w:rsidP="00C424F7">
      <w:pPr>
        <w:tabs>
          <w:tab w:val="left" w:pos="567"/>
        </w:tabs>
        <w:ind w:left="426" w:hanging="284"/>
        <w:jc w:val="both"/>
        <w:rPr>
          <w:rFonts w:asciiTheme="minorHAnsi" w:hAnsiTheme="minorHAnsi"/>
          <w:sz w:val="18"/>
          <w:szCs w:val="18"/>
          <w:lang w:bidi="he-IL"/>
        </w:rPr>
      </w:pPr>
      <w:r w:rsidRPr="00EE077D">
        <w:rPr>
          <w:rFonts w:asciiTheme="minorHAnsi" w:hAnsiTheme="minorHAnsi"/>
          <w:sz w:val="18"/>
          <w:szCs w:val="18"/>
        </w:rPr>
        <w:t>2.</w:t>
      </w:r>
      <w:r w:rsidRPr="00EE077D">
        <w:rPr>
          <w:rFonts w:asciiTheme="minorHAnsi" w:hAnsiTheme="minorHAnsi"/>
          <w:sz w:val="18"/>
          <w:szCs w:val="18"/>
        </w:rPr>
        <w:tab/>
      </w:r>
      <w:r w:rsidR="00653147" w:rsidRPr="00EE077D">
        <w:rPr>
          <w:rFonts w:asciiTheme="minorHAnsi" w:hAnsiTheme="minorHAnsi"/>
          <w:sz w:val="18"/>
          <w:szCs w:val="18"/>
        </w:rPr>
        <w:t xml:space="preserve">Braiman, A. and Isakov, N. 2015. </w:t>
      </w:r>
      <w:proofErr w:type="gramStart"/>
      <w:r w:rsidR="00653147" w:rsidRPr="00EE077D">
        <w:rPr>
          <w:rFonts w:asciiTheme="minorHAnsi" w:hAnsiTheme="minorHAnsi"/>
          <w:sz w:val="18"/>
          <w:szCs w:val="18"/>
        </w:rPr>
        <w:t>The role of Crk adaptor proteins in T cell adhesion and migration.</w:t>
      </w:r>
      <w:proofErr w:type="gramEnd"/>
      <w:r w:rsidR="00653147" w:rsidRPr="00EE077D">
        <w:rPr>
          <w:rFonts w:asciiTheme="minorHAnsi" w:hAnsiTheme="minorHAnsi"/>
          <w:sz w:val="18"/>
          <w:szCs w:val="18"/>
        </w:rPr>
        <w:t xml:space="preserve"> </w:t>
      </w:r>
      <w:r w:rsidR="00653147" w:rsidRPr="00EE077D">
        <w:rPr>
          <w:rFonts w:asciiTheme="minorHAnsi" w:hAnsiTheme="minorHAnsi"/>
          <w:i/>
          <w:sz w:val="18"/>
          <w:szCs w:val="18"/>
        </w:rPr>
        <w:t>Front. Immunol.</w:t>
      </w:r>
      <w:r w:rsidR="00653147" w:rsidRPr="00EE077D">
        <w:rPr>
          <w:rFonts w:asciiTheme="minorHAnsi" w:hAnsiTheme="minorHAnsi"/>
          <w:sz w:val="18"/>
          <w:szCs w:val="18"/>
        </w:rPr>
        <w:t xml:space="preserve"> </w:t>
      </w:r>
      <w:r w:rsidR="00653147" w:rsidRPr="00EE077D">
        <w:rPr>
          <w:rFonts w:asciiTheme="minorHAnsi" w:hAnsiTheme="minorHAnsi" w:cs="Lucida Grande"/>
          <w:b/>
          <w:bCs/>
          <w:sz w:val="18"/>
          <w:szCs w:val="18"/>
        </w:rPr>
        <w:t>6</w:t>
      </w:r>
      <w:r w:rsidR="00653147" w:rsidRPr="00EE077D">
        <w:rPr>
          <w:rFonts w:asciiTheme="minorHAnsi" w:hAnsiTheme="minorHAnsi" w:cs="Lucida Grande"/>
          <w:sz w:val="18"/>
          <w:szCs w:val="18"/>
        </w:rPr>
        <w:t xml:space="preserve">:509. </w:t>
      </w:r>
      <w:proofErr w:type="spellStart"/>
      <w:proofErr w:type="gramStart"/>
      <w:r w:rsidR="00653147" w:rsidRPr="00EE077D">
        <w:rPr>
          <w:rFonts w:asciiTheme="minorHAnsi" w:hAnsiTheme="minorHAnsi" w:cs="Lucida Grande"/>
          <w:sz w:val="18"/>
          <w:szCs w:val="18"/>
        </w:rPr>
        <w:t>doi</w:t>
      </w:r>
      <w:proofErr w:type="spellEnd"/>
      <w:proofErr w:type="gramEnd"/>
      <w:r w:rsidR="00653147" w:rsidRPr="00EE077D">
        <w:rPr>
          <w:rFonts w:asciiTheme="minorHAnsi" w:hAnsiTheme="minorHAnsi" w:cs="Lucida Grande"/>
          <w:sz w:val="18"/>
          <w:szCs w:val="18"/>
        </w:rPr>
        <w:t>: 10.3389/fimmu.2015.00509</w:t>
      </w:r>
    </w:p>
    <w:p w14:paraId="7755F5AD" w14:textId="77777777" w:rsidR="00653147" w:rsidRPr="00EE077D" w:rsidRDefault="00653147" w:rsidP="00C424F7">
      <w:pPr>
        <w:tabs>
          <w:tab w:val="left" w:pos="567"/>
        </w:tabs>
        <w:ind w:left="142"/>
        <w:jc w:val="both"/>
        <w:rPr>
          <w:rFonts w:asciiTheme="minorHAnsi" w:hAnsiTheme="minorHAnsi"/>
          <w:sz w:val="18"/>
          <w:szCs w:val="18"/>
        </w:rPr>
      </w:pPr>
    </w:p>
    <w:p w14:paraId="37BEED00" w14:textId="092751E9" w:rsidR="00653147" w:rsidRPr="00EE077D" w:rsidRDefault="00C424F7" w:rsidP="00C424F7">
      <w:pPr>
        <w:tabs>
          <w:tab w:val="left" w:pos="-2127"/>
          <w:tab w:val="left" w:pos="5954"/>
        </w:tabs>
        <w:ind w:left="426" w:hanging="284"/>
        <w:jc w:val="both"/>
        <w:rPr>
          <w:rFonts w:asciiTheme="minorHAnsi" w:hAnsiTheme="minorHAnsi"/>
          <w:sz w:val="18"/>
          <w:szCs w:val="18"/>
        </w:rPr>
      </w:pPr>
      <w:r w:rsidRPr="00EE077D">
        <w:rPr>
          <w:rFonts w:asciiTheme="minorHAnsi" w:hAnsiTheme="minorHAnsi"/>
          <w:bCs/>
          <w:iCs/>
          <w:sz w:val="18"/>
          <w:szCs w:val="18"/>
        </w:rPr>
        <w:t>3.</w:t>
      </w:r>
      <w:r w:rsidRPr="00EE077D">
        <w:rPr>
          <w:rFonts w:asciiTheme="minorHAnsi" w:hAnsiTheme="minorHAnsi"/>
          <w:bCs/>
          <w:iCs/>
          <w:sz w:val="18"/>
          <w:szCs w:val="18"/>
        </w:rPr>
        <w:tab/>
      </w:r>
      <w:r w:rsidR="00653147" w:rsidRPr="00EE077D">
        <w:rPr>
          <w:rFonts w:asciiTheme="minorHAnsi" w:hAnsiTheme="minorHAnsi"/>
          <w:bCs/>
          <w:iCs/>
          <w:sz w:val="18"/>
          <w:szCs w:val="18"/>
        </w:rPr>
        <w:t>Nath, R.P., Dong, G.</w:t>
      </w:r>
      <w:r w:rsidR="00653147" w:rsidRPr="00EE077D">
        <w:rPr>
          <w:rFonts w:asciiTheme="minorHAnsi" w:hAnsiTheme="minorHAnsi"/>
          <w:bCs/>
          <w:sz w:val="18"/>
          <w:szCs w:val="18"/>
        </w:rPr>
        <w:t xml:space="preserve">, </w:t>
      </w:r>
      <w:r w:rsidR="00653147" w:rsidRPr="00EE077D">
        <w:rPr>
          <w:rFonts w:asciiTheme="minorHAnsi" w:hAnsiTheme="minorHAnsi"/>
          <w:bCs/>
          <w:iCs/>
          <w:sz w:val="18"/>
          <w:szCs w:val="18"/>
        </w:rPr>
        <w:t xml:space="preserve">Braiman, A. and Isakov, N. </w:t>
      </w:r>
      <w:r w:rsidR="00653147" w:rsidRPr="00EE077D">
        <w:rPr>
          <w:rFonts w:asciiTheme="minorHAnsi" w:hAnsiTheme="minorHAnsi"/>
          <w:bCs/>
          <w:sz w:val="18"/>
          <w:szCs w:val="18"/>
        </w:rPr>
        <w:t xml:space="preserve">2016. </w:t>
      </w:r>
      <w:proofErr w:type="gramStart"/>
      <w:r w:rsidR="00653147" w:rsidRPr="00EE077D">
        <w:rPr>
          <w:rFonts w:asciiTheme="minorHAnsi" w:hAnsiTheme="minorHAnsi" w:cs="Helvetica"/>
          <w:i/>
          <w:sz w:val="18"/>
          <w:szCs w:val="18"/>
        </w:rPr>
        <w:t>In vivo</w:t>
      </w:r>
      <w:r w:rsidR="00653147" w:rsidRPr="00EE077D">
        <w:rPr>
          <w:rFonts w:asciiTheme="minorHAnsi" w:hAnsiTheme="minorHAnsi" w:cs="Helvetica"/>
          <w:sz w:val="18"/>
          <w:szCs w:val="18"/>
        </w:rPr>
        <w:t xml:space="preserve"> regulation of human CrkII by cyclophilin A and FK506-binding protein</w:t>
      </w:r>
      <w:r w:rsidR="00653147" w:rsidRPr="00EE077D">
        <w:rPr>
          <w:rFonts w:asciiTheme="minorHAnsi" w:hAnsiTheme="minorHAnsi"/>
          <w:bCs/>
          <w:sz w:val="18"/>
          <w:szCs w:val="18"/>
        </w:rPr>
        <w:t>.</w:t>
      </w:r>
      <w:proofErr w:type="gramEnd"/>
      <w:r w:rsidR="00653147" w:rsidRPr="00EE077D">
        <w:rPr>
          <w:rFonts w:asciiTheme="minorHAnsi" w:hAnsiTheme="minorHAnsi"/>
          <w:bCs/>
          <w:sz w:val="18"/>
          <w:szCs w:val="18"/>
        </w:rPr>
        <w:t xml:space="preserve"> </w:t>
      </w:r>
      <w:proofErr w:type="spellStart"/>
      <w:r w:rsidR="00653147" w:rsidRPr="00EE077D">
        <w:rPr>
          <w:rFonts w:asciiTheme="minorHAnsi" w:hAnsiTheme="minorHAnsi"/>
          <w:i/>
          <w:sz w:val="18"/>
          <w:szCs w:val="18"/>
        </w:rPr>
        <w:t>Biochem</w:t>
      </w:r>
      <w:proofErr w:type="spellEnd"/>
      <w:r w:rsidR="00653147" w:rsidRPr="00EE077D">
        <w:rPr>
          <w:rFonts w:asciiTheme="minorHAnsi" w:hAnsiTheme="minorHAnsi"/>
          <w:i/>
          <w:sz w:val="18"/>
          <w:szCs w:val="18"/>
        </w:rPr>
        <w:t xml:space="preserve">. </w:t>
      </w:r>
      <w:proofErr w:type="spellStart"/>
      <w:r w:rsidR="00653147" w:rsidRPr="00EE077D">
        <w:rPr>
          <w:rFonts w:asciiTheme="minorHAnsi" w:hAnsiTheme="minorHAnsi"/>
          <w:i/>
          <w:sz w:val="18"/>
          <w:szCs w:val="18"/>
        </w:rPr>
        <w:t>Biophys</w:t>
      </w:r>
      <w:proofErr w:type="spellEnd"/>
      <w:r w:rsidR="00653147" w:rsidRPr="00EE077D">
        <w:rPr>
          <w:rFonts w:asciiTheme="minorHAnsi" w:hAnsiTheme="minorHAnsi"/>
          <w:i/>
          <w:sz w:val="18"/>
          <w:szCs w:val="18"/>
        </w:rPr>
        <w:t xml:space="preserve">. Res. </w:t>
      </w:r>
      <w:proofErr w:type="spellStart"/>
      <w:r w:rsidR="00653147" w:rsidRPr="00EE077D">
        <w:rPr>
          <w:rFonts w:asciiTheme="minorHAnsi" w:hAnsiTheme="minorHAnsi"/>
          <w:i/>
          <w:sz w:val="18"/>
          <w:szCs w:val="18"/>
        </w:rPr>
        <w:t>Commun</w:t>
      </w:r>
      <w:proofErr w:type="spellEnd"/>
      <w:r w:rsidR="00653147" w:rsidRPr="00EE077D">
        <w:rPr>
          <w:rFonts w:asciiTheme="minorHAnsi" w:hAnsiTheme="minorHAnsi"/>
          <w:i/>
          <w:sz w:val="18"/>
          <w:szCs w:val="18"/>
        </w:rPr>
        <w:t>.</w:t>
      </w:r>
      <w:r w:rsidR="00653147" w:rsidRPr="00EE077D">
        <w:rPr>
          <w:rFonts w:asciiTheme="minorHAnsi" w:hAnsiTheme="minorHAnsi"/>
          <w:sz w:val="18"/>
          <w:szCs w:val="18"/>
        </w:rPr>
        <w:t xml:space="preserve"> </w:t>
      </w:r>
      <w:r w:rsidR="00653147" w:rsidRPr="00EE077D">
        <w:rPr>
          <w:rFonts w:asciiTheme="minorHAnsi" w:hAnsiTheme="minorHAnsi"/>
          <w:b/>
          <w:sz w:val="18"/>
          <w:szCs w:val="18"/>
        </w:rPr>
        <w:t>470</w:t>
      </w:r>
      <w:r w:rsidR="00653147" w:rsidRPr="00EE077D">
        <w:rPr>
          <w:rFonts w:asciiTheme="minorHAnsi" w:hAnsiTheme="minorHAnsi"/>
          <w:sz w:val="18"/>
          <w:szCs w:val="18"/>
        </w:rPr>
        <w:t xml:space="preserve">:411-416. </w:t>
      </w:r>
      <w:proofErr w:type="spellStart"/>
      <w:proofErr w:type="gramStart"/>
      <w:r w:rsidR="00653147" w:rsidRPr="00EE077D">
        <w:rPr>
          <w:rFonts w:asciiTheme="minorHAnsi" w:hAnsiTheme="minorHAnsi" w:cs="Arial"/>
          <w:sz w:val="18"/>
          <w:szCs w:val="18"/>
        </w:rPr>
        <w:t>doi</w:t>
      </w:r>
      <w:proofErr w:type="spellEnd"/>
      <w:proofErr w:type="gramEnd"/>
      <w:r w:rsidR="00653147" w:rsidRPr="00EE077D">
        <w:rPr>
          <w:rFonts w:asciiTheme="minorHAnsi" w:hAnsiTheme="minorHAnsi" w:cs="Arial"/>
          <w:sz w:val="18"/>
          <w:szCs w:val="18"/>
        </w:rPr>
        <w:t>: 10.1016/j.bbrc.2016.01.027.</w:t>
      </w:r>
    </w:p>
    <w:p w14:paraId="3296FC48" w14:textId="77777777" w:rsidR="00653147" w:rsidRPr="00EE077D" w:rsidRDefault="00653147" w:rsidP="00C424F7">
      <w:pPr>
        <w:tabs>
          <w:tab w:val="left" w:pos="-2127"/>
          <w:tab w:val="left" w:pos="5954"/>
        </w:tabs>
        <w:ind w:left="142"/>
        <w:jc w:val="both"/>
        <w:rPr>
          <w:rFonts w:asciiTheme="minorHAnsi" w:hAnsiTheme="minorHAnsi" w:cs="Arial"/>
          <w:sz w:val="18"/>
          <w:szCs w:val="18"/>
        </w:rPr>
      </w:pPr>
    </w:p>
    <w:p w14:paraId="6559237B" w14:textId="18359D10" w:rsidR="00653147" w:rsidRPr="00EE077D" w:rsidRDefault="00C424F7" w:rsidP="00C424F7">
      <w:pPr>
        <w:tabs>
          <w:tab w:val="left" w:pos="-2127"/>
          <w:tab w:val="left" w:pos="5954"/>
        </w:tabs>
        <w:ind w:left="426" w:hanging="284"/>
        <w:jc w:val="both"/>
        <w:rPr>
          <w:rFonts w:asciiTheme="minorHAnsi" w:hAnsiTheme="minorHAnsi" w:cs="Arial"/>
          <w:sz w:val="18"/>
          <w:szCs w:val="18"/>
        </w:rPr>
      </w:pPr>
      <w:r w:rsidRPr="00EE077D">
        <w:rPr>
          <w:rFonts w:asciiTheme="minorHAnsi" w:hAnsiTheme="minorHAnsi" w:cs="Arial"/>
          <w:bCs/>
          <w:iCs/>
          <w:sz w:val="18"/>
          <w:szCs w:val="18"/>
        </w:rPr>
        <w:t>4.</w:t>
      </w:r>
      <w:r w:rsidRPr="00EE077D">
        <w:rPr>
          <w:rFonts w:asciiTheme="minorHAnsi" w:hAnsiTheme="minorHAnsi" w:cs="Arial"/>
          <w:bCs/>
          <w:iCs/>
          <w:sz w:val="18"/>
          <w:szCs w:val="18"/>
        </w:rPr>
        <w:tab/>
      </w:r>
      <w:r w:rsidR="00653147" w:rsidRPr="00EE077D">
        <w:rPr>
          <w:rFonts w:asciiTheme="minorHAnsi" w:hAnsiTheme="minorHAnsi" w:cs="Arial"/>
          <w:bCs/>
          <w:iCs/>
          <w:sz w:val="18"/>
          <w:szCs w:val="18"/>
        </w:rPr>
        <w:t>Dong, G.</w:t>
      </w:r>
      <w:r w:rsidR="00653147" w:rsidRPr="00EE077D">
        <w:rPr>
          <w:rFonts w:asciiTheme="minorHAnsi" w:hAnsiTheme="minorHAnsi" w:cs="Arial"/>
          <w:bCs/>
          <w:sz w:val="18"/>
          <w:szCs w:val="18"/>
        </w:rPr>
        <w:t xml:space="preserve">, </w:t>
      </w:r>
      <w:r w:rsidR="00653147" w:rsidRPr="00EE077D">
        <w:rPr>
          <w:rFonts w:asciiTheme="minorHAnsi" w:hAnsiTheme="minorHAnsi" w:cs="Arial"/>
          <w:sz w:val="18"/>
          <w:szCs w:val="18"/>
        </w:rPr>
        <w:t xml:space="preserve">Kalifa, R., </w:t>
      </w:r>
      <w:r w:rsidR="00653147" w:rsidRPr="00EE077D">
        <w:rPr>
          <w:rFonts w:asciiTheme="minorHAnsi" w:hAnsiTheme="minorHAnsi" w:cs="Arial"/>
          <w:bCs/>
          <w:iCs/>
          <w:sz w:val="18"/>
          <w:szCs w:val="18"/>
        </w:rPr>
        <w:t xml:space="preserve">Nath, R.R., </w:t>
      </w:r>
      <w:r w:rsidR="00653147" w:rsidRPr="00EE077D">
        <w:rPr>
          <w:rFonts w:asciiTheme="minorHAnsi" w:hAnsiTheme="minorHAnsi" w:cs="Arial"/>
          <w:sz w:val="18"/>
          <w:szCs w:val="18"/>
        </w:rPr>
        <w:t>Babichev, Y., Gelkop, S., and Isakov</w:t>
      </w:r>
      <w:r w:rsidR="00653147" w:rsidRPr="00EE077D">
        <w:rPr>
          <w:rFonts w:asciiTheme="minorHAnsi" w:hAnsiTheme="minorHAnsi" w:cs="Arial"/>
          <w:bCs/>
          <w:sz w:val="18"/>
          <w:szCs w:val="18"/>
          <w:vertAlign w:val="superscript"/>
        </w:rPr>
        <w:t xml:space="preserve">, </w:t>
      </w:r>
      <w:r w:rsidR="00653147" w:rsidRPr="00EE077D">
        <w:rPr>
          <w:rFonts w:asciiTheme="minorHAnsi" w:hAnsiTheme="minorHAnsi" w:cs="Arial"/>
          <w:sz w:val="18"/>
          <w:szCs w:val="18"/>
        </w:rPr>
        <w:t xml:space="preserve">N. 2017. </w:t>
      </w:r>
      <w:r w:rsidR="00653147" w:rsidRPr="00EE077D">
        <w:rPr>
          <w:rFonts w:asciiTheme="minorHAnsi" w:hAnsiTheme="minorHAnsi" w:cs="Arial"/>
          <w:sz w:val="18"/>
          <w:szCs w:val="18"/>
          <w:lang w:bidi="he-IL"/>
        </w:rPr>
        <w:t xml:space="preserve">Crk adaptor proteins regulate </w:t>
      </w:r>
      <w:r w:rsidR="00653147" w:rsidRPr="00EE077D">
        <w:rPr>
          <w:rFonts w:asciiTheme="minorHAnsi" w:hAnsiTheme="minorHAnsi" w:cs="Arial"/>
          <w:sz w:val="18"/>
          <w:szCs w:val="18"/>
        </w:rPr>
        <w:t>CD3</w:t>
      </w:r>
      <w:r w:rsidR="00653147" w:rsidRPr="00EE077D">
        <w:rPr>
          <w:rFonts w:asciiTheme="minorHAnsi" w:hAnsiTheme="minorHAnsi" w:cs="Times New Roman"/>
          <w:sz w:val="18"/>
          <w:szCs w:val="18"/>
        </w:rPr>
        <w:t>ζ</w:t>
      </w:r>
      <w:r w:rsidR="00653147" w:rsidRPr="00EE077D">
        <w:rPr>
          <w:rFonts w:asciiTheme="minorHAnsi" w:hAnsiTheme="minorHAnsi" w:cs="Arial"/>
          <w:sz w:val="18"/>
          <w:szCs w:val="18"/>
        </w:rPr>
        <w:t xml:space="preserve"> chain phosphorylation and </w:t>
      </w:r>
      <w:r w:rsidR="00653147" w:rsidRPr="00EE077D">
        <w:rPr>
          <w:rFonts w:asciiTheme="minorHAnsi" w:hAnsiTheme="minorHAnsi" w:cs="Arial"/>
          <w:sz w:val="18"/>
          <w:szCs w:val="18"/>
          <w:lang w:bidi="he-IL"/>
        </w:rPr>
        <w:t>TCR/CD3 down-modulation</w:t>
      </w:r>
      <w:r w:rsidR="00653147" w:rsidRPr="00EE077D">
        <w:rPr>
          <w:rFonts w:asciiTheme="minorHAnsi" w:hAnsiTheme="minorHAnsi" w:cs="Arial"/>
          <w:sz w:val="18"/>
          <w:szCs w:val="18"/>
        </w:rPr>
        <w:t xml:space="preserve"> in activated T cells. </w:t>
      </w:r>
      <w:r w:rsidR="00653147" w:rsidRPr="00EE077D">
        <w:rPr>
          <w:rFonts w:asciiTheme="minorHAnsi" w:hAnsiTheme="minorHAnsi" w:cs="Arial"/>
          <w:i/>
          <w:sz w:val="18"/>
          <w:szCs w:val="18"/>
        </w:rPr>
        <w:t>Cell. Signal.</w:t>
      </w:r>
      <w:r w:rsidR="00653147" w:rsidRPr="00EE077D">
        <w:rPr>
          <w:rFonts w:asciiTheme="minorHAnsi" w:hAnsiTheme="minorHAnsi" w:cs="Arial"/>
          <w:sz w:val="18"/>
          <w:szCs w:val="18"/>
        </w:rPr>
        <w:t xml:space="preserve"> </w:t>
      </w:r>
      <w:r w:rsidR="00653147" w:rsidRPr="00EE077D">
        <w:rPr>
          <w:rFonts w:asciiTheme="minorHAnsi" w:hAnsiTheme="minorHAnsi" w:cs="Arial"/>
          <w:bCs/>
          <w:iCs/>
          <w:sz w:val="18"/>
          <w:szCs w:val="18"/>
        </w:rPr>
        <w:t xml:space="preserve">36:117-126. </w:t>
      </w:r>
      <w:r w:rsidR="00653147" w:rsidRPr="00EE077D">
        <w:rPr>
          <w:rFonts w:asciiTheme="minorHAnsi" w:hAnsiTheme="minorHAnsi" w:cs="Arial"/>
          <w:sz w:val="18"/>
          <w:szCs w:val="18"/>
        </w:rPr>
        <w:t>http://dx.doi.org/10.1016/</w:t>
      </w:r>
      <w:r w:rsidRPr="00EE077D">
        <w:rPr>
          <w:rFonts w:asciiTheme="minorHAnsi" w:hAnsiTheme="minorHAnsi" w:cs="Arial"/>
          <w:sz w:val="18"/>
          <w:szCs w:val="18"/>
        </w:rPr>
        <w:t xml:space="preserve"> </w:t>
      </w:r>
      <w:r w:rsidR="00653147" w:rsidRPr="00EE077D">
        <w:rPr>
          <w:rFonts w:asciiTheme="minorHAnsi" w:hAnsiTheme="minorHAnsi" w:cs="Arial"/>
          <w:sz w:val="18"/>
          <w:szCs w:val="18"/>
        </w:rPr>
        <w:t>j.cellsig.2017.04.022.</w:t>
      </w:r>
    </w:p>
    <w:p w14:paraId="27B310E8" w14:textId="77777777" w:rsidR="00653147" w:rsidRPr="00EE077D" w:rsidRDefault="00653147" w:rsidP="00C424F7">
      <w:pPr>
        <w:ind w:left="142"/>
        <w:jc w:val="both"/>
        <w:rPr>
          <w:rFonts w:asciiTheme="minorHAnsi" w:hAnsiTheme="minorHAnsi" w:cs="Arial"/>
          <w:sz w:val="18"/>
          <w:szCs w:val="18"/>
          <w:lang w:bidi="he-IL"/>
        </w:rPr>
      </w:pPr>
    </w:p>
    <w:p w14:paraId="1B9C6B5A" w14:textId="75B24750" w:rsidR="00653147" w:rsidRDefault="00C424F7" w:rsidP="00C424F7">
      <w:pPr>
        <w:tabs>
          <w:tab w:val="right" w:pos="9356"/>
          <w:tab w:val="right" w:pos="10773"/>
        </w:tabs>
        <w:spacing w:after="240"/>
        <w:ind w:left="426" w:hanging="284"/>
        <w:jc w:val="both"/>
        <w:rPr>
          <w:rFonts w:asciiTheme="minorHAnsi" w:hAnsiTheme="minorHAnsi" w:cs="Arial"/>
          <w:sz w:val="18"/>
          <w:szCs w:val="18"/>
        </w:rPr>
      </w:pPr>
      <w:r w:rsidRPr="00EE077D">
        <w:rPr>
          <w:rFonts w:asciiTheme="minorHAnsi" w:hAnsiTheme="minorHAnsi" w:cs="Arial"/>
          <w:bCs/>
          <w:iCs/>
          <w:sz w:val="18"/>
          <w:szCs w:val="18"/>
        </w:rPr>
        <w:t>5.</w:t>
      </w:r>
      <w:r w:rsidRPr="00EE077D">
        <w:rPr>
          <w:rFonts w:asciiTheme="minorHAnsi" w:hAnsiTheme="minorHAnsi" w:cs="Arial"/>
          <w:bCs/>
          <w:iCs/>
          <w:sz w:val="18"/>
          <w:szCs w:val="18"/>
        </w:rPr>
        <w:tab/>
      </w:r>
      <w:r w:rsidR="00653147" w:rsidRPr="00EE077D">
        <w:rPr>
          <w:rFonts w:asciiTheme="minorHAnsi" w:hAnsiTheme="minorHAnsi" w:cs="Arial"/>
          <w:bCs/>
          <w:iCs/>
          <w:sz w:val="18"/>
          <w:szCs w:val="18"/>
        </w:rPr>
        <w:t>Dong, G.</w:t>
      </w:r>
      <w:r w:rsidR="00653147" w:rsidRPr="00EE077D">
        <w:rPr>
          <w:rFonts w:asciiTheme="minorHAnsi" w:hAnsiTheme="minorHAnsi" w:cs="Arial"/>
          <w:bCs/>
          <w:sz w:val="18"/>
          <w:szCs w:val="18"/>
        </w:rPr>
        <w:t xml:space="preserve">, </w:t>
      </w:r>
      <w:r w:rsidR="00653147" w:rsidRPr="00EE077D">
        <w:rPr>
          <w:rFonts w:asciiTheme="minorHAnsi" w:hAnsiTheme="minorHAnsi" w:cs="Arial"/>
          <w:sz w:val="18"/>
          <w:szCs w:val="18"/>
        </w:rPr>
        <w:t xml:space="preserve">Kalifa, R., </w:t>
      </w:r>
      <w:r w:rsidR="00653147" w:rsidRPr="00EE077D">
        <w:rPr>
          <w:rFonts w:asciiTheme="minorHAnsi" w:hAnsiTheme="minorHAnsi" w:cs="Arial"/>
          <w:bCs/>
          <w:iCs/>
          <w:sz w:val="18"/>
          <w:szCs w:val="18"/>
        </w:rPr>
        <w:t xml:space="preserve">Nath, R.R., </w:t>
      </w:r>
      <w:r w:rsidR="00653147" w:rsidRPr="00EE077D">
        <w:rPr>
          <w:rFonts w:asciiTheme="minorHAnsi" w:hAnsiTheme="minorHAnsi" w:cs="Arial"/>
          <w:sz w:val="18"/>
          <w:szCs w:val="18"/>
        </w:rPr>
        <w:t>Gelkop, S., and Isakov,</w:t>
      </w:r>
      <w:r w:rsidR="00653147" w:rsidRPr="00EE077D">
        <w:rPr>
          <w:rFonts w:asciiTheme="minorHAnsi" w:hAnsiTheme="minorHAnsi" w:cs="Arial"/>
          <w:bCs/>
          <w:sz w:val="18"/>
          <w:szCs w:val="18"/>
          <w:vertAlign w:val="superscript"/>
        </w:rPr>
        <w:t xml:space="preserve"> </w:t>
      </w:r>
      <w:r w:rsidR="00653147" w:rsidRPr="00EE077D">
        <w:rPr>
          <w:rFonts w:asciiTheme="minorHAnsi" w:hAnsiTheme="minorHAnsi" w:cs="Arial"/>
          <w:sz w:val="18"/>
          <w:szCs w:val="18"/>
        </w:rPr>
        <w:t>N.</w:t>
      </w:r>
      <w:r w:rsidR="00653147" w:rsidRPr="00EE077D">
        <w:rPr>
          <w:rFonts w:asciiTheme="minorHAnsi" w:hAnsiTheme="minorHAnsi" w:cs="Arial"/>
          <w:bCs/>
          <w:sz w:val="18"/>
          <w:szCs w:val="18"/>
        </w:rPr>
        <w:t xml:space="preserve"> 2017. </w:t>
      </w:r>
      <w:r w:rsidR="00653147" w:rsidRPr="00EE077D">
        <w:rPr>
          <w:rFonts w:asciiTheme="minorHAnsi" w:hAnsiTheme="minorHAnsi" w:cs="Arial"/>
          <w:sz w:val="18"/>
          <w:szCs w:val="18"/>
        </w:rPr>
        <w:t>TCR crosslinking promotes Crk adaptor protein binding to tyrosine-phosphorylated CD3</w:t>
      </w:r>
      <w:r w:rsidR="00653147" w:rsidRPr="00EE077D">
        <w:rPr>
          <w:rFonts w:asciiTheme="minorHAnsi" w:hAnsiTheme="minorHAnsi" w:cs="Times New Roman"/>
          <w:sz w:val="18"/>
          <w:szCs w:val="18"/>
        </w:rPr>
        <w:t>ζ</w:t>
      </w:r>
      <w:r w:rsidR="00653147" w:rsidRPr="00EE077D">
        <w:rPr>
          <w:rFonts w:asciiTheme="minorHAnsi" w:hAnsiTheme="minorHAnsi" w:cs="Arial"/>
          <w:sz w:val="18"/>
          <w:szCs w:val="18"/>
        </w:rPr>
        <w:t xml:space="preserve"> chain. </w:t>
      </w:r>
      <w:proofErr w:type="spellStart"/>
      <w:r w:rsidR="00653147" w:rsidRPr="00EE077D">
        <w:rPr>
          <w:rFonts w:asciiTheme="minorHAnsi" w:hAnsiTheme="minorHAnsi" w:cs="Arial"/>
          <w:i/>
          <w:sz w:val="18"/>
          <w:szCs w:val="18"/>
        </w:rPr>
        <w:t>Biochem</w:t>
      </w:r>
      <w:proofErr w:type="spellEnd"/>
      <w:r w:rsidR="00653147" w:rsidRPr="00EE077D">
        <w:rPr>
          <w:rFonts w:asciiTheme="minorHAnsi" w:hAnsiTheme="minorHAnsi" w:cs="Arial"/>
          <w:i/>
          <w:sz w:val="18"/>
          <w:szCs w:val="18"/>
        </w:rPr>
        <w:t xml:space="preserve">. </w:t>
      </w:r>
      <w:proofErr w:type="spellStart"/>
      <w:r w:rsidR="00653147" w:rsidRPr="00EE077D">
        <w:rPr>
          <w:rFonts w:asciiTheme="minorHAnsi" w:hAnsiTheme="minorHAnsi" w:cs="Arial"/>
          <w:i/>
          <w:sz w:val="18"/>
          <w:szCs w:val="18"/>
        </w:rPr>
        <w:t>Biophys</w:t>
      </w:r>
      <w:proofErr w:type="spellEnd"/>
      <w:r w:rsidR="00653147" w:rsidRPr="00EE077D">
        <w:rPr>
          <w:rFonts w:asciiTheme="minorHAnsi" w:hAnsiTheme="minorHAnsi" w:cs="Arial"/>
          <w:i/>
          <w:sz w:val="18"/>
          <w:szCs w:val="18"/>
        </w:rPr>
        <w:t xml:space="preserve">. Res. </w:t>
      </w:r>
      <w:proofErr w:type="spellStart"/>
      <w:r w:rsidR="00653147" w:rsidRPr="00EE077D">
        <w:rPr>
          <w:rFonts w:asciiTheme="minorHAnsi" w:hAnsiTheme="minorHAnsi" w:cs="Arial"/>
          <w:i/>
          <w:sz w:val="18"/>
          <w:szCs w:val="18"/>
        </w:rPr>
        <w:t>Commun</w:t>
      </w:r>
      <w:proofErr w:type="spellEnd"/>
      <w:r w:rsidR="00653147" w:rsidRPr="00EE077D">
        <w:rPr>
          <w:rFonts w:asciiTheme="minorHAnsi" w:hAnsiTheme="minorHAnsi" w:cs="Arial"/>
          <w:i/>
          <w:sz w:val="18"/>
          <w:szCs w:val="18"/>
        </w:rPr>
        <w:t>.</w:t>
      </w:r>
      <w:r w:rsidR="00653147" w:rsidRPr="00EE077D">
        <w:rPr>
          <w:rFonts w:asciiTheme="minorHAnsi" w:hAnsiTheme="minorHAnsi" w:cs="Arial"/>
          <w:sz w:val="18"/>
          <w:szCs w:val="18"/>
        </w:rPr>
        <w:t xml:space="preserve"> </w:t>
      </w:r>
      <w:proofErr w:type="gramStart"/>
      <w:r w:rsidR="00653147" w:rsidRPr="00EE077D">
        <w:rPr>
          <w:rFonts w:asciiTheme="minorHAnsi" w:hAnsiTheme="minorHAnsi" w:cs="Arial"/>
          <w:i/>
          <w:iCs/>
          <w:sz w:val="18"/>
          <w:szCs w:val="18"/>
        </w:rPr>
        <w:t xml:space="preserve">8:541-546. </w:t>
      </w:r>
      <w:r w:rsidR="00653147" w:rsidRPr="00EE077D">
        <w:rPr>
          <w:rFonts w:asciiTheme="minorHAnsi" w:hAnsiTheme="minorHAnsi" w:cs="Arial"/>
          <w:sz w:val="18"/>
          <w:szCs w:val="18"/>
        </w:rPr>
        <w:t>http://dx.doi.org/10.1016/j.bbrc.2017.05.082.</w:t>
      </w:r>
      <w:proofErr w:type="gramEnd"/>
      <w:r w:rsidR="00653147" w:rsidRPr="00EE077D">
        <w:rPr>
          <w:rFonts w:asciiTheme="minorHAnsi" w:hAnsiTheme="minorHAnsi" w:cs="Arial"/>
          <w:sz w:val="18"/>
          <w:szCs w:val="18"/>
        </w:rPr>
        <w:t> </w:t>
      </w:r>
    </w:p>
    <w:p w14:paraId="79884C51" w14:textId="77777777" w:rsidR="004D203D" w:rsidRPr="00EE077D" w:rsidRDefault="004D203D" w:rsidP="00C424F7">
      <w:pPr>
        <w:tabs>
          <w:tab w:val="right" w:pos="9356"/>
          <w:tab w:val="right" w:pos="10773"/>
        </w:tabs>
        <w:spacing w:after="240"/>
        <w:ind w:left="426" w:hanging="284"/>
        <w:jc w:val="both"/>
        <w:rPr>
          <w:rFonts w:asciiTheme="minorHAnsi" w:hAnsiTheme="minorHAnsi" w:cs="Arial"/>
          <w:i/>
          <w:iCs/>
          <w:sz w:val="18"/>
          <w:szCs w:val="18"/>
        </w:rPr>
      </w:pPr>
      <w:bookmarkStart w:id="0" w:name="_GoBack"/>
      <w:bookmarkEnd w:id="0"/>
    </w:p>
    <w:p w14:paraId="76AF0AE6" w14:textId="41DB8A18"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3442217A" w14:textId="77777777" w:rsidR="00AE3E37" w:rsidRDefault="00AE3E37">
      <w:pPr>
        <w:pStyle w:val="BodyText"/>
        <w:rPr>
          <w:rFonts w:ascii="Calibri"/>
          <w:sz w:val="20"/>
        </w:rPr>
      </w:pPr>
    </w:p>
    <w:p w14:paraId="680B0BFA"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7712F99" wp14:editId="2C3BD69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6E47856D" w14:textId="6A5DD51A" w:rsidR="00653147" w:rsidRDefault="00653147" w:rsidP="00404E5B">
      <w:pPr>
        <w:spacing w:before="92"/>
        <w:ind w:right="4234"/>
        <w:rPr>
          <w:noProof/>
        </w:rPr>
      </w:pPr>
      <w:r>
        <w:rPr>
          <w:noProof/>
        </w:rPr>
        <w:drawing>
          <wp:inline distT="0" distB="0" distL="0" distR="0" wp14:anchorId="2F623428" wp14:editId="107A41D4">
            <wp:extent cx="807085" cy="1069975"/>
            <wp:effectExtent l="0" t="0" r="5715" b="0"/>
            <wp:docPr id="2" name="Picture 2" descr="Macintosh HD:Users:noahisakov:Desktop:ro-International Journal of Allergy and Immunolog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oahisakov:Desktop:ro-International Journal of Allergy and Immunology.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7085" cy="1069975"/>
                    </a:xfrm>
                    <a:prstGeom prst="rect">
                      <a:avLst/>
                    </a:prstGeom>
                    <a:noFill/>
                    <a:ln>
                      <a:noFill/>
                    </a:ln>
                  </pic:spPr>
                </pic:pic>
              </a:graphicData>
            </a:graphic>
          </wp:inline>
        </w:drawing>
      </w:r>
    </w:p>
    <w:p w14:paraId="0AD75AAD" w14:textId="5CFF42F7"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4C65B752" w14:textId="7536A8D1" w:rsidR="00653147" w:rsidRPr="005B0F7E" w:rsidRDefault="00653147" w:rsidP="00653147">
      <w:pPr>
        <w:rPr>
          <w:rStyle w:val="refname"/>
          <w:rFonts w:ascii="Arial" w:eastAsia="Times New Roman" w:hAnsi="Arial" w:cs="Arial"/>
          <w:sz w:val="14"/>
          <w:szCs w:val="14"/>
        </w:rPr>
      </w:pPr>
      <w:r w:rsidRPr="005B0F7E">
        <w:rPr>
          <w:rStyle w:val="refname"/>
          <w:rFonts w:ascii="Arial" w:eastAsia="Times New Roman" w:hAnsi="Arial" w:cs="Arial"/>
          <w:sz w:val="14"/>
          <w:szCs w:val="14"/>
        </w:rPr>
        <w:t>Professor Noah Isakov</w:t>
      </w:r>
      <w:r w:rsidRPr="005B0F7E">
        <w:rPr>
          <w:rFonts w:ascii="Arial" w:eastAsia="Times New Roman" w:hAnsi="Arial" w:cs="Arial"/>
          <w:sz w:val="14"/>
          <w:szCs w:val="14"/>
        </w:rPr>
        <w:t xml:space="preserve"> holds</w:t>
      </w:r>
      <w:r w:rsidRPr="005B0F7E">
        <w:rPr>
          <w:rFonts w:ascii="Arial" w:hAnsi="Arial" w:cs="Arial"/>
          <w:sz w:val="14"/>
          <w:szCs w:val="14"/>
        </w:rPr>
        <w:t xml:space="preserve"> the Joseph H Krupp Chair in Cancer Immunobiology</w:t>
      </w:r>
      <w:r w:rsidRPr="005B0F7E">
        <w:rPr>
          <w:rFonts w:ascii="Arial" w:eastAsia="Times New Roman" w:hAnsi="Arial" w:cs="Arial"/>
          <w:sz w:val="14"/>
          <w:szCs w:val="14"/>
        </w:rPr>
        <w:t xml:space="preserve"> </w:t>
      </w:r>
      <w:r w:rsidRPr="005B0F7E">
        <w:rPr>
          <w:rFonts w:ascii="Arial" w:eastAsia="Times New Roman" w:hAnsi="Arial" w:cs="Arial"/>
          <w:sz w:val="14"/>
          <w:szCs w:val="14"/>
          <w:lang w:bidi="he-IL"/>
        </w:rPr>
        <w:t>at</w:t>
      </w:r>
      <w:r w:rsidRPr="005B0F7E">
        <w:rPr>
          <w:rFonts w:ascii="Arial" w:eastAsia="Times New Roman" w:hAnsi="Arial" w:cs="Arial"/>
          <w:sz w:val="14"/>
          <w:szCs w:val="14"/>
        </w:rPr>
        <w:t xml:space="preserve"> </w:t>
      </w:r>
      <w:r w:rsidRPr="005B0F7E">
        <w:rPr>
          <w:rStyle w:val="refname"/>
          <w:rFonts w:ascii="Arial" w:eastAsia="Times New Roman" w:hAnsi="Arial" w:cs="Arial"/>
          <w:sz w:val="14"/>
          <w:szCs w:val="14"/>
        </w:rPr>
        <w:t>the Shraga Segal Department of Microbiology, Immunology</w:t>
      </w:r>
      <w:r w:rsidRPr="005B0F7E">
        <w:rPr>
          <w:rFonts w:ascii="Arial" w:eastAsia="Times New Roman" w:hAnsi="Arial" w:cs="Arial"/>
          <w:sz w:val="14"/>
          <w:szCs w:val="14"/>
        </w:rPr>
        <w:t xml:space="preserve"> and Genetics, Faculty of </w:t>
      </w:r>
      <w:r w:rsidRPr="005B0F7E">
        <w:rPr>
          <w:rStyle w:val="refname"/>
          <w:rFonts w:ascii="Arial" w:eastAsia="Times New Roman" w:hAnsi="Arial" w:cs="Arial"/>
          <w:sz w:val="14"/>
          <w:szCs w:val="14"/>
        </w:rPr>
        <w:t xml:space="preserve">Health Sciences, at Ben Gurion University of the Negev, in Beer Sheva, Israel. </w:t>
      </w:r>
      <w:r w:rsidRPr="005B0F7E">
        <w:rPr>
          <w:rFonts w:ascii="Arial" w:eastAsia="Times New Roman" w:hAnsi="Arial" w:cs="Arial"/>
          <w:sz w:val="14"/>
          <w:szCs w:val="14"/>
        </w:rPr>
        <w:t xml:space="preserve">He graduated from the Weizmann Institute of Science in Rehovot, Israel (1981) and worked as a postdoctoral researcher at the </w:t>
      </w:r>
      <w:r w:rsidRPr="005B0F7E">
        <w:rPr>
          <w:rStyle w:val="refname"/>
          <w:rFonts w:ascii="Arial" w:eastAsia="Times New Roman" w:hAnsi="Arial" w:cs="Arial"/>
          <w:sz w:val="14"/>
          <w:szCs w:val="14"/>
        </w:rPr>
        <w:t>University of Minnesota</w:t>
      </w:r>
      <w:r w:rsidRPr="005B0F7E">
        <w:rPr>
          <w:rFonts w:ascii="Arial" w:eastAsia="Times New Roman" w:hAnsi="Arial" w:cs="Arial"/>
          <w:sz w:val="14"/>
          <w:szCs w:val="14"/>
        </w:rPr>
        <w:t xml:space="preserve"> in Minneapolis, MN (1981-1983) and the </w:t>
      </w:r>
      <w:r w:rsidRPr="005B0F7E">
        <w:rPr>
          <w:rStyle w:val="refname"/>
          <w:rFonts w:ascii="Arial" w:eastAsia="Times New Roman" w:hAnsi="Arial" w:cs="Arial"/>
          <w:sz w:val="14"/>
          <w:szCs w:val="14"/>
        </w:rPr>
        <w:t>Scripps Research Institute</w:t>
      </w:r>
      <w:r w:rsidRPr="005B0F7E">
        <w:rPr>
          <w:rFonts w:ascii="Arial" w:eastAsia="Times New Roman" w:hAnsi="Arial" w:cs="Arial"/>
          <w:sz w:val="14"/>
          <w:szCs w:val="14"/>
        </w:rPr>
        <w:t xml:space="preserve"> in La Jolla, CA (1983-1987). </w:t>
      </w:r>
      <w:r w:rsidRPr="005B0F7E">
        <w:rPr>
          <w:rFonts w:ascii="Arial" w:hAnsi="Arial" w:cs="Arial"/>
          <w:sz w:val="14"/>
          <w:szCs w:val="14"/>
        </w:rPr>
        <w:t xml:space="preserve">He performed sabbaticals </w:t>
      </w:r>
      <w:r w:rsidRPr="005B0F7E">
        <w:rPr>
          <w:rFonts w:ascii="Arial" w:eastAsia="Times New Roman" w:hAnsi="Arial" w:cs="Arial"/>
          <w:sz w:val="14"/>
          <w:szCs w:val="14"/>
        </w:rPr>
        <w:t xml:space="preserve">at </w:t>
      </w:r>
      <w:r w:rsidRPr="005B0F7E">
        <w:rPr>
          <w:rFonts w:ascii="Arial" w:hAnsi="Arial" w:cs="Arial"/>
          <w:sz w:val="14"/>
          <w:szCs w:val="14"/>
        </w:rPr>
        <w:t>the NICHD, National Institutes of Health in Bethesda,</w:t>
      </w:r>
      <w:r w:rsidRPr="005B0F7E">
        <w:rPr>
          <w:rStyle w:val="refname"/>
          <w:rFonts w:ascii="Arial" w:eastAsia="Times New Roman" w:hAnsi="Arial" w:cs="Arial"/>
          <w:sz w:val="14"/>
          <w:szCs w:val="14"/>
        </w:rPr>
        <w:t xml:space="preserve"> MD</w:t>
      </w:r>
      <w:r w:rsidRPr="005B0F7E">
        <w:rPr>
          <w:rFonts w:ascii="Arial" w:eastAsia="Times New Roman" w:hAnsi="Arial" w:cs="Arial"/>
          <w:sz w:val="14"/>
          <w:szCs w:val="14"/>
        </w:rPr>
        <w:t xml:space="preserve"> (1993-1995), the </w:t>
      </w:r>
      <w:r w:rsidRPr="005B0F7E">
        <w:rPr>
          <w:rStyle w:val="refname"/>
          <w:rFonts w:ascii="Arial" w:eastAsia="Times New Roman" w:hAnsi="Arial" w:cs="Arial"/>
          <w:sz w:val="14"/>
          <w:szCs w:val="14"/>
        </w:rPr>
        <w:t>Oklahoma Medical Research Foundation</w:t>
      </w:r>
      <w:r w:rsidRPr="005B0F7E">
        <w:rPr>
          <w:rFonts w:ascii="Arial" w:eastAsia="Times New Roman" w:hAnsi="Arial" w:cs="Arial"/>
          <w:sz w:val="14"/>
          <w:szCs w:val="14"/>
        </w:rPr>
        <w:t xml:space="preserve"> in Oklahoma City, OK, where he </w:t>
      </w:r>
      <w:r w:rsidRPr="005B0F7E">
        <w:rPr>
          <w:rFonts w:ascii="Arial" w:hAnsi="Arial" w:cs="Arial"/>
          <w:sz w:val="14"/>
          <w:szCs w:val="14"/>
        </w:rPr>
        <w:t xml:space="preserve">held the Esther Greenberg </w:t>
      </w:r>
      <w:r w:rsidRPr="005B0F7E">
        <w:rPr>
          <w:rFonts w:ascii="Arial" w:eastAsia="Times New Roman" w:hAnsi="Arial" w:cs="Arial"/>
          <w:sz w:val="14"/>
          <w:szCs w:val="14"/>
        </w:rPr>
        <w:t>Honors Chair in Biomedical Research (2003-2004), and the Otago University in Dunedin, New Zealand (2015).</w:t>
      </w:r>
    </w:p>
    <w:p w14:paraId="5D37AB7E" w14:textId="455B3790" w:rsidR="00AE3E37" w:rsidRDefault="00A9710C">
      <w:pPr>
        <w:spacing w:before="62"/>
        <w:ind w:left="4217" w:right="4235"/>
        <w:jc w:val="center"/>
        <w:rPr>
          <w:rFonts w:ascii="Arial"/>
          <w:sz w:val="14"/>
        </w:rPr>
      </w:pPr>
      <w:r>
        <w:rPr>
          <w:rFonts w:ascii="Arial"/>
          <w:sz w:val="14"/>
        </w:rPr>
        <w:t xml:space="preserve">Email: </w:t>
      </w:r>
      <w:hyperlink r:id="rId11" w:history="1">
        <w:r w:rsidR="00653147">
          <w:rPr>
            <w:rStyle w:val="Hyperlink"/>
            <w:rFonts w:ascii="Arial"/>
            <w:sz w:val="14"/>
          </w:rPr>
          <w:t>noah@bgu.ac.il</w:t>
        </w:r>
      </w:hyperlink>
    </w:p>
    <w:p w14:paraId="3BBADFB6"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4CCE55E" wp14:editId="23882D0E">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B2518EB" w14:textId="77777777" w:rsidR="00AE3E37" w:rsidRDefault="00AE3E37">
      <w:pPr>
        <w:pStyle w:val="BodyText"/>
        <w:rPr>
          <w:rFonts w:ascii="Arial"/>
          <w:sz w:val="20"/>
        </w:rPr>
      </w:pPr>
    </w:p>
    <w:p w14:paraId="2939B402" w14:textId="77777777" w:rsidR="00AE3E37" w:rsidRDefault="00AE3E37">
      <w:pPr>
        <w:pStyle w:val="BodyText"/>
        <w:rPr>
          <w:rFonts w:ascii="Arial"/>
          <w:sz w:val="20"/>
        </w:rPr>
      </w:pPr>
    </w:p>
    <w:p w14:paraId="25BB72E4" w14:textId="77777777" w:rsidR="00AE3E37" w:rsidRDefault="00AE3E37">
      <w:pPr>
        <w:pStyle w:val="BodyText"/>
        <w:spacing w:before="7"/>
        <w:rPr>
          <w:rFonts w:ascii="Arial"/>
          <w:sz w:val="29"/>
        </w:rPr>
      </w:pPr>
    </w:p>
    <w:p w14:paraId="03A5B04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0668385D"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E25F2A" w14:textId="77777777" w:rsidR="00EE077D" w:rsidRDefault="00EE077D">
      <w:r>
        <w:separator/>
      </w:r>
    </w:p>
  </w:endnote>
  <w:endnote w:type="continuationSeparator" w:id="0">
    <w:p w14:paraId="005C8212" w14:textId="77777777" w:rsidR="00EE077D" w:rsidRDefault="00EE07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w:panose1 w:val="00000000000000000000"/>
    <w:charset w:val="4D"/>
    <w:family w:val="roman"/>
    <w:notTrueType/>
    <w:pitch w:val="default"/>
    <w:sig w:usb0="00000003" w:usb1="00000000" w:usb2="00000000" w:usb3="00000000" w:csb0="00000001" w:csb1="00000000"/>
  </w:font>
  <w:font w:name="Arial">
    <w:altName w:val="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Helvetica Neue">
    <w:panose1 w:val="02000503000000020004"/>
    <w:charset w:val="00"/>
    <w:family w:val="auto"/>
    <w:pitch w:val="variable"/>
    <w:sig w:usb0="80000067"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B68E18" w14:textId="77777777" w:rsidR="00EE077D" w:rsidRDefault="00EE077D">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4BEA162" wp14:editId="2041F11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FA13F" w14:textId="77777777" w:rsidR="00EE077D" w:rsidRPr="005B3A56" w:rsidRDefault="00EE077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329CD93" w14:textId="77777777" w:rsidR="00EE077D" w:rsidRPr="005B3A56" w:rsidRDefault="00EE077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4A8FA13F" w14:textId="77777777" w:rsidR="00EE077D" w:rsidRPr="005B3A56" w:rsidRDefault="00EE077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329CD93" w14:textId="77777777" w:rsidR="00EE077D" w:rsidRPr="005B3A56" w:rsidRDefault="00EE077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CCAB395" wp14:editId="275825C2">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0F362" w14:textId="77777777" w:rsidR="00EE077D" w:rsidRPr="005B3A56" w:rsidRDefault="00EE077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95F90D" w14:textId="77777777" w:rsidR="00EE077D" w:rsidRPr="005B3A56" w:rsidRDefault="00EE077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6950F362" w14:textId="77777777" w:rsidR="00EE077D" w:rsidRPr="005B3A56" w:rsidRDefault="00EE077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95F90D" w14:textId="77777777" w:rsidR="00EE077D" w:rsidRPr="005B3A56" w:rsidRDefault="00EE077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BAD5A04" wp14:editId="446343C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BD356" w14:textId="77777777" w:rsidR="00EE077D" w:rsidRPr="005B3A56" w:rsidRDefault="00EE077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DA763B5" w14:textId="77777777" w:rsidR="00EE077D" w:rsidRPr="005B3A56" w:rsidRDefault="00EE077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41BBD356" w14:textId="77777777" w:rsidR="00EE077D" w:rsidRPr="005B3A56" w:rsidRDefault="00EE077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DA763B5" w14:textId="77777777" w:rsidR="00EE077D" w:rsidRPr="005B3A56" w:rsidRDefault="00EE077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3526C3" w14:textId="77777777" w:rsidR="00EE077D" w:rsidRDefault="00EE077D">
      <w:r>
        <w:separator/>
      </w:r>
    </w:p>
  </w:footnote>
  <w:footnote w:type="continuationSeparator" w:id="0">
    <w:p w14:paraId="0120F931" w14:textId="77777777" w:rsidR="00EE077D" w:rsidRDefault="00EE077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E999AB" w14:textId="77777777" w:rsidR="00EE077D" w:rsidRDefault="00EE077D">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E339BB3" wp14:editId="1CE92B6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C6B6F" w14:textId="77777777" w:rsidR="00EE077D" w:rsidRPr="005B3A56" w:rsidRDefault="00EE077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2F2C6B6F" w14:textId="77777777" w:rsidR="00EE077D" w:rsidRPr="005B3A56" w:rsidRDefault="00EE077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831B367" wp14:editId="65BC52B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0E45E" w14:textId="77777777" w:rsidR="00EE077D" w:rsidRPr="005B3A56" w:rsidRDefault="00EE077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075F584" w14:textId="77777777" w:rsidR="00EE077D" w:rsidRPr="005B3A56" w:rsidRDefault="00EE077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7CF0E45E" w14:textId="77777777" w:rsidR="00EE077D" w:rsidRPr="005B3A56" w:rsidRDefault="00EE077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075F584" w14:textId="77777777" w:rsidR="00EE077D" w:rsidRPr="005B3A56" w:rsidRDefault="00EE077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D203D"/>
    <w:rsid w:val="004F3523"/>
    <w:rsid w:val="005973B9"/>
    <w:rsid w:val="005A4D13"/>
    <w:rsid w:val="005B3A56"/>
    <w:rsid w:val="006060CE"/>
    <w:rsid w:val="0063497F"/>
    <w:rsid w:val="00653147"/>
    <w:rsid w:val="00873DF0"/>
    <w:rsid w:val="00874EB9"/>
    <w:rsid w:val="008756E6"/>
    <w:rsid w:val="0088547A"/>
    <w:rsid w:val="009B2D44"/>
    <w:rsid w:val="00A07E82"/>
    <w:rsid w:val="00A9710C"/>
    <w:rsid w:val="00AE3E37"/>
    <w:rsid w:val="00B21A57"/>
    <w:rsid w:val="00C33602"/>
    <w:rsid w:val="00C424F7"/>
    <w:rsid w:val="00CD6F55"/>
    <w:rsid w:val="00DC30DE"/>
    <w:rsid w:val="00DE3104"/>
    <w:rsid w:val="00E50D54"/>
    <w:rsid w:val="00EE077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33D4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653147"/>
    <w:pPr>
      <w:autoSpaceDE w:val="0"/>
      <w:autoSpaceDN w:val="0"/>
      <w:adjustRightInd w:val="0"/>
    </w:pPr>
    <w:rPr>
      <w:rFonts w:ascii="Arial" w:eastAsiaTheme="minorEastAsia" w:hAnsi="Arial" w:cs="Arial"/>
      <w:color w:val="000000"/>
      <w:sz w:val="24"/>
      <w:szCs w:val="24"/>
    </w:rPr>
  </w:style>
  <w:style w:type="character" w:customStyle="1" w:styleId="refname">
    <w:name w:val="refname"/>
    <w:basedOn w:val="DefaultParagraphFont"/>
    <w:rsid w:val="0065314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653147"/>
    <w:pPr>
      <w:autoSpaceDE w:val="0"/>
      <w:autoSpaceDN w:val="0"/>
      <w:adjustRightInd w:val="0"/>
    </w:pPr>
    <w:rPr>
      <w:rFonts w:ascii="Arial" w:eastAsiaTheme="minorEastAsia" w:hAnsi="Arial" w:cs="Arial"/>
      <w:color w:val="000000"/>
      <w:sz w:val="24"/>
      <w:szCs w:val="24"/>
    </w:rPr>
  </w:style>
  <w:style w:type="character" w:customStyle="1" w:styleId="refname">
    <w:name w:val="refname"/>
    <w:basedOn w:val="DefaultParagraphFont"/>
    <w:rsid w:val="00653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mailto:drXXXXXXX@xxxmail.com" TargetMode="Externa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633</Words>
  <Characters>3610</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Noah Isakov</cp:lastModifiedBy>
  <cp:revision>6</cp:revision>
  <cp:lastPrinted>2017-07-17T11:59:00Z</cp:lastPrinted>
  <dcterms:created xsi:type="dcterms:W3CDTF">2017-07-17T05:49:00Z</dcterms:created>
  <dcterms:modified xsi:type="dcterms:W3CDTF">2017-07-17T12:05:00Z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