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F6791" w:rsidP="00494130">
      <w:pPr>
        <w:pStyle w:val="Heading1"/>
        <w:spacing w:before="170"/>
        <w:ind w:left="0"/>
      </w:pPr>
      <w:r>
        <w:rPr>
          <w:color w:val="337AB7"/>
        </w:rPr>
        <w:t xml:space="preserve">Cold chain failure stability and immunogenicity studies of a live veterinary vaccine </w:t>
      </w:r>
    </w:p>
    <w:p w:rsidR="0078738A" w:rsidRDefault="00254944" w:rsidP="005973B9">
      <w:pPr>
        <w:pStyle w:val="BodyText"/>
        <w:spacing w:before="73" w:line="198" w:lineRule="exact"/>
        <w:ind w:left="100" w:right="5987"/>
        <w:rPr>
          <w:rFonts w:ascii="Arial"/>
        </w:rPr>
      </w:pPr>
      <w:r>
        <w:rPr>
          <w:rFonts w:ascii="Arial"/>
        </w:rPr>
        <w:t>GUKTUR</w:t>
      </w:r>
      <w:r w:rsidR="005973B9">
        <w:rPr>
          <w:rFonts w:ascii="Arial"/>
        </w:rPr>
        <w:t>, R</w:t>
      </w:r>
      <w:r>
        <w:rPr>
          <w:rFonts w:ascii="Arial"/>
        </w:rPr>
        <w:t>E</w:t>
      </w:r>
      <w:r w:rsidR="005973B9">
        <w:rPr>
          <w:rFonts w:ascii="Arial"/>
        </w:rPr>
        <w:t xml:space="preserve"> </w:t>
      </w:r>
      <w:r w:rsidR="00FD593C">
        <w:rPr>
          <w:rFonts w:ascii="Arial"/>
        </w:rPr>
        <w:t>Pharm</w:t>
      </w:r>
      <w:r w:rsidR="005973B9">
        <w:rPr>
          <w:rFonts w:ascii="Arial"/>
        </w:rPr>
        <w:t xml:space="preserve">, </w:t>
      </w:r>
      <w:r w:rsidR="00E670AB">
        <w:rPr>
          <w:rFonts w:ascii="Arial"/>
        </w:rPr>
        <w:t>University of Jos</w:t>
      </w:r>
      <w:r w:rsidR="00FD593C">
        <w:rPr>
          <w:rFonts w:ascii="Arial"/>
        </w:rPr>
        <w:t>/NVRI</w:t>
      </w:r>
      <w:r w:rsidR="005973B9">
        <w:rPr>
          <w:rFonts w:ascii="Arial"/>
        </w:rPr>
        <w:t xml:space="preserve">, </w:t>
      </w:r>
      <w:r w:rsidR="00E670AB">
        <w:rPr>
          <w:rFonts w:ascii="Arial"/>
        </w:rPr>
        <w:t xml:space="preserve">Nigeria  </w:t>
      </w:r>
      <w:r w:rsidR="005973B9">
        <w:rPr>
          <w:rFonts w:ascii="Arial"/>
        </w:rPr>
        <w:t xml:space="preserve"> </w:t>
      </w:r>
    </w:p>
    <w:p w:rsidR="005973B9" w:rsidRDefault="00FD593C" w:rsidP="005973B9">
      <w:pPr>
        <w:pStyle w:val="BodyText"/>
        <w:spacing w:before="73" w:line="198" w:lineRule="exact"/>
        <w:ind w:left="100" w:right="5987"/>
        <w:rPr>
          <w:rFonts w:ascii="Arial"/>
        </w:rPr>
      </w:pPr>
      <w:r>
        <w:rPr>
          <w:rFonts w:ascii="Arial"/>
        </w:rPr>
        <w:t xml:space="preserve">DR </w:t>
      </w:r>
      <w:r w:rsidR="00E670AB">
        <w:rPr>
          <w:rFonts w:ascii="Arial"/>
        </w:rPr>
        <w:t>NEP</w:t>
      </w:r>
      <w:r w:rsidR="005973B9">
        <w:rPr>
          <w:rFonts w:ascii="Arial"/>
        </w:rPr>
        <w:t xml:space="preserve">, </w:t>
      </w:r>
      <w:r w:rsidR="00E670AB">
        <w:rPr>
          <w:rFonts w:ascii="Arial"/>
        </w:rPr>
        <w:t>EI</w:t>
      </w:r>
      <w:r w:rsidR="005973B9">
        <w:rPr>
          <w:rFonts w:ascii="Arial"/>
        </w:rPr>
        <w:t xml:space="preserve"> PhD, </w:t>
      </w:r>
      <w:r w:rsidR="00E670AB">
        <w:rPr>
          <w:rFonts w:ascii="Arial"/>
        </w:rPr>
        <w:t>University of Jos</w:t>
      </w:r>
      <w:r w:rsidR="005973B9">
        <w:rPr>
          <w:rFonts w:ascii="Arial"/>
        </w:rPr>
        <w:t xml:space="preserve">, </w:t>
      </w:r>
      <w:r w:rsidR="00E670AB">
        <w:rPr>
          <w:rFonts w:ascii="Arial"/>
        </w:rPr>
        <w:t>Nigeria</w:t>
      </w:r>
    </w:p>
    <w:p w:rsidR="00E670AB" w:rsidRDefault="00FD593C" w:rsidP="005973B9">
      <w:pPr>
        <w:pStyle w:val="BodyText"/>
        <w:spacing w:before="73" w:line="198" w:lineRule="exact"/>
        <w:ind w:left="100" w:right="5987"/>
        <w:rPr>
          <w:rFonts w:ascii="Arial"/>
        </w:rPr>
      </w:pPr>
      <w:r>
        <w:rPr>
          <w:rFonts w:ascii="Arial"/>
        </w:rPr>
        <w:t xml:space="preserve">DR </w:t>
      </w:r>
      <w:r w:rsidR="00E670AB">
        <w:rPr>
          <w:rFonts w:ascii="Arial"/>
        </w:rPr>
        <w:t>ASALA, O PhD, NVRI Vom, Nigeria</w:t>
      </w:r>
    </w:p>
    <w:p w:rsidR="00E670AB" w:rsidRDefault="00FD593C" w:rsidP="005973B9">
      <w:pPr>
        <w:pStyle w:val="BodyText"/>
        <w:spacing w:before="73" w:line="198" w:lineRule="exact"/>
        <w:ind w:left="100" w:right="5987"/>
        <w:rPr>
          <w:rFonts w:ascii="Arial"/>
        </w:rPr>
      </w:pPr>
      <w:r>
        <w:rPr>
          <w:rFonts w:ascii="Arial"/>
        </w:rPr>
        <w:t xml:space="preserve">DR </w:t>
      </w:r>
      <w:r w:rsidR="00E670AB">
        <w:rPr>
          <w:rFonts w:ascii="Arial"/>
        </w:rPr>
        <w:t>OLORUNFEMI, PO PhD, University of Jos, Nigeria</w:t>
      </w:r>
    </w:p>
    <w:p w:rsidR="00E670AB" w:rsidRDefault="00FD593C" w:rsidP="005973B9">
      <w:pPr>
        <w:pStyle w:val="BodyText"/>
        <w:spacing w:before="73" w:line="198" w:lineRule="exact"/>
        <w:ind w:left="100" w:right="5987"/>
        <w:rPr>
          <w:rFonts w:ascii="Arial"/>
        </w:rPr>
      </w:pPr>
      <w:r>
        <w:rPr>
          <w:rFonts w:ascii="Arial"/>
        </w:rPr>
        <w:t xml:space="preserve">PROF </w:t>
      </w:r>
      <w:r w:rsidR="00E670AB">
        <w:rPr>
          <w:rFonts w:ascii="Arial"/>
        </w:rPr>
        <w:t xml:space="preserve">NGWULUKA, NC PhD, </w:t>
      </w:r>
      <w:r w:rsidR="00E670AB">
        <w:rPr>
          <w:rFonts w:ascii="Arial"/>
        </w:rPr>
        <w:t>University of Jos, Nigeria</w:t>
      </w:r>
    </w:p>
    <w:p w:rsidR="00E670AB" w:rsidRDefault="00FD593C" w:rsidP="005973B9">
      <w:pPr>
        <w:pStyle w:val="BodyText"/>
        <w:spacing w:before="73" w:line="198" w:lineRule="exact"/>
        <w:ind w:left="100" w:right="5987"/>
        <w:rPr>
          <w:rFonts w:ascii="Arial"/>
        </w:rPr>
      </w:pPr>
      <w:r>
        <w:rPr>
          <w:rFonts w:ascii="Arial"/>
        </w:rPr>
        <w:t>P</w:t>
      </w:r>
      <w:r>
        <w:rPr>
          <w:rFonts w:ascii="Arial"/>
        </w:rPr>
        <w:t>ROF</w:t>
      </w:r>
      <w:r>
        <w:rPr>
          <w:rFonts w:ascii="Arial"/>
        </w:rPr>
        <w:t xml:space="preserve"> </w:t>
      </w:r>
      <w:r w:rsidR="00E670AB">
        <w:rPr>
          <w:rFonts w:ascii="Arial"/>
        </w:rPr>
        <w:t xml:space="preserve">OCHEKPE, NA PhD, </w:t>
      </w:r>
      <w:r w:rsidR="00E670AB">
        <w:rPr>
          <w:rFonts w:ascii="Arial"/>
        </w:rPr>
        <w:t>University of Jos, Nigeria</w:t>
      </w:r>
    </w:p>
    <w:p w:rsidR="00E670AB" w:rsidRDefault="00FD593C" w:rsidP="005973B9">
      <w:pPr>
        <w:pStyle w:val="BodyText"/>
        <w:spacing w:before="73" w:line="198" w:lineRule="exact"/>
        <w:ind w:left="100" w:right="5987"/>
        <w:rPr>
          <w:rFonts w:ascii="Arial"/>
        </w:rPr>
      </w:pPr>
      <w:r>
        <w:rPr>
          <w:rFonts w:ascii="Arial"/>
        </w:rPr>
        <w:t>P</w:t>
      </w:r>
      <w:r>
        <w:rPr>
          <w:rFonts w:ascii="Arial"/>
        </w:rPr>
        <w:t>ROF</w:t>
      </w:r>
      <w:r>
        <w:rPr>
          <w:rFonts w:ascii="Arial"/>
        </w:rPr>
        <w:t xml:space="preserve"> </w:t>
      </w:r>
      <w:r w:rsidR="00E670AB">
        <w:rPr>
          <w:rFonts w:ascii="Arial"/>
        </w:rPr>
        <w:t xml:space="preserve">SAGAY, AS PhD, </w:t>
      </w:r>
      <w:r w:rsidR="009A31FD">
        <w:rPr>
          <w:rFonts w:ascii="Arial"/>
        </w:rPr>
        <w:t>University of Jos, Nigeria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0F6791">
        <w:rPr>
          <w:color w:val="BF5A14"/>
        </w:rPr>
        <w:t xml:space="preserve"> </w:t>
      </w:r>
    </w:p>
    <w:p w:rsidR="00254944" w:rsidRDefault="000F6791" w:rsidP="00254944">
      <w:pPr>
        <w:ind w:firstLine="720"/>
        <w:jc w:val="both"/>
        <w:rPr>
          <w:rFonts w:cs="Times New Roman"/>
          <w:sz w:val="18"/>
          <w:szCs w:val="24"/>
        </w:rPr>
      </w:pPr>
      <w:r>
        <w:rPr>
          <w:rFonts w:cs="Times New Roman"/>
          <w:sz w:val="18"/>
          <w:szCs w:val="24"/>
        </w:rPr>
        <w:t xml:space="preserve">Statement of the Problem: </w:t>
      </w:r>
      <w:r w:rsidRPr="00D00B94">
        <w:rPr>
          <w:rFonts w:cs="Times New Roman"/>
          <w:color w:val="000000" w:themeColor="text1"/>
          <w:sz w:val="18"/>
          <w:szCs w:val="24"/>
        </w:rPr>
        <w:t>V</w:t>
      </w:r>
      <w:r>
        <w:rPr>
          <w:rFonts w:cs="Times New Roman"/>
          <w:color w:val="000000" w:themeColor="text1"/>
          <w:sz w:val="18"/>
          <w:szCs w:val="24"/>
        </w:rPr>
        <w:t>eterinary v</w:t>
      </w:r>
      <w:r w:rsidRPr="00D00B94">
        <w:rPr>
          <w:rFonts w:cs="Times New Roman"/>
          <w:color w:val="000000" w:themeColor="text1"/>
          <w:sz w:val="18"/>
          <w:szCs w:val="24"/>
        </w:rPr>
        <w:t>accine production in Nigeria is dependent on importation of excipients</w:t>
      </w:r>
      <w:r>
        <w:rPr>
          <w:rFonts w:cs="Times New Roman"/>
          <w:color w:val="000000" w:themeColor="text1"/>
          <w:sz w:val="18"/>
          <w:szCs w:val="24"/>
        </w:rPr>
        <w:t>.</w:t>
      </w:r>
      <w:r w:rsidRPr="00D00B94">
        <w:rPr>
          <w:rFonts w:cs="Times New Roman"/>
          <w:color w:val="000000" w:themeColor="text1"/>
          <w:sz w:val="18"/>
          <w:szCs w:val="24"/>
        </w:rPr>
        <w:t xml:space="preserve"> </w:t>
      </w:r>
      <w:r>
        <w:rPr>
          <w:rFonts w:cs="Times New Roman"/>
          <w:color w:val="000000" w:themeColor="text1"/>
          <w:sz w:val="18"/>
          <w:szCs w:val="24"/>
        </w:rPr>
        <w:t>This</w:t>
      </w:r>
      <w:r w:rsidRPr="00D00B94">
        <w:rPr>
          <w:rFonts w:cs="Times New Roman"/>
          <w:color w:val="000000" w:themeColor="text1"/>
          <w:sz w:val="18"/>
          <w:szCs w:val="24"/>
        </w:rPr>
        <w:t xml:space="preserve"> is costly and a </w:t>
      </w:r>
      <w:r>
        <w:rPr>
          <w:rFonts w:cs="Times New Roman"/>
          <w:color w:val="000000" w:themeColor="text1"/>
          <w:sz w:val="18"/>
          <w:szCs w:val="24"/>
        </w:rPr>
        <w:t>challenge</w:t>
      </w:r>
      <w:r w:rsidRPr="00D00B94">
        <w:rPr>
          <w:rFonts w:cs="Times New Roman"/>
          <w:color w:val="000000" w:themeColor="text1"/>
          <w:sz w:val="18"/>
          <w:szCs w:val="24"/>
        </w:rPr>
        <w:t xml:space="preserve"> </w:t>
      </w:r>
      <w:r>
        <w:rPr>
          <w:rFonts w:cs="Times New Roman"/>
          <w:color w:val="000000" w:themeColor="text1"/>
          <w:sz w:val="18"/>
          <w:szCs w:val="24"/>
        </w:rPr>
        <w:t>to</w:t>
      </w:r>
      <w:r w:rsidRPr="00D00B94">
        <w:rPr>
          <w:rFonts w:cs="Times New Roman"/>
          <w:color w:val="000000" w:themeColor="text1"/>
          <w:sz w:val="18"/>
          <w:szCs w:val="24"/>
        </w:rPr>
        <w:t xml:space="preserve"> achiev</w:t>
      </w:r>
      <w:r>
        <w:rPr>
          <w:rFonts w:cs="Times New Roman"/>
          <w:color w:val="000000" w:themeColor="text1"/>
          <w:sz w:val="18"/>
          <w:szCs w:val="24"/>
        </w:rPr>
        <w:t>ing</w:t>
      </w:r>
      <w:r w:rsidRPr="00D00B94">
        <w:rPr>
          <w:rFonts w:cs="Times New Roman"/>
          <w:color w:val="000000" w:themeColor="text1"/>
          <w:sz w:val="18"/>
          <w:szCs w:val="24"/>
        </w:rPr>
        <w:t xml:space="preserve"> production targets </w:t>
      </w:r>
      <w:r w:rsidR="00CC71DC">
        <w:rPr>
          <w:rFonts w:cs="Times New Roman"/>
          <w:color w:val="000000" w:themeColor="text1"/>
          <w:sz w:val="18"/>
          <w:szCs w:val="24"/>
        </w:rPr>
        <w:t>that</w:t>
      </w:r>
      <w:r w:rsidRPr="00D00B94">
        <w:rPr>
          <w:rFonts w:cs="Times New Roman"/>
          <w:color w:val="000000" w:themeColor="text1"/>
          <w:sz w:val="18"/>
          <w:szCs w:val="24"/>
        </w:rPr>
        <w:t xml:space="preserve"> meet vaccine demand. Despite the stabilizers currently in use for vaccine production, vaccines still require </w:t>
      </w:r>
      <w:r>
        <w:rPr>
          <w:rFonts w:cs="Times New Roman"/>
          <w:color w:val="000000" w:themeColor="text1"/>
          <w:sz w:val="18"/>
          <w:szCs w:val="24"/>
        </w:rPr>
        <w:t>storage</w:t>
      </w:r>
      <w:r w:rsidRPr="00D00B94">
        <w:rPr>
          <w:rFonts w:cs="Times New Roman"/>
          <w:color w:val="000000" w:themeColor="text1"/>
          <w:sz w:val="18"/>
          <w:szCs w:val="24"/>
        </w:rPr>
        <w:t xml:space="preserve"> </w:t>
      </w:r>
      <w:r>
        <w:rPr>
          <w:rFonts w:cs="Times New Roman"/>
          <w:color w:val="000000" w:themeColor="text1"/>
          <w:sz w:val="18"/>
          <w:szCs w:val="24"/>
        </w:rPr>
        <w:t>at prescribed</w:t>
      </w:r>
      <w:r w:rsidRPr="00D00B94">
        <w:rPr>
          <w:rFonts w:cs="Times New Roman"/>
          <w:color w:val="000000" w:themeColor="text1"/>
          <w:sz w:val="18"/>
          <w:szCs w:val="24"/>
        </w:rPr>
        <w:t xml:space="preserve"> cold chain conditions from manufacture to administration. Once vaccines leave the custody of the manufacturer, </w:t>
      </w:r>
      <w:r>
        <w:rPr>
          <w:rFonts w:cs="Times New Roman"/>
          <w:color w:val="000000" w:themeColor="text1"/>
          <w:sz w:val="18"/>
          <w:szCs w:val="24"/>
        </w:rPr>
        <w:t>adherence to cold chain requirements</w:t>
      </w:r>
      <w:r w:rsidRPr="00D00B94">
        <w:rPr>
          <w:rFonts w:cs="Times New Roman"/>
          <w:color w:val="000000" w:themeColor="text1"/>
          <w:sz w:val="18"/>
          <w:szCs w:val="24"/>
        </w:rPr>
        <w:t xml:space="preserve"> right to the point of administration</w:t>
      </w:r>
      <w:r>
        <w:rPr>
          <w:rFonts w:cs="Times New Roman"/>
          <w:color w:val="000000" w:themeColor="text1"/>
          <w:sz w:val="18"/>
          <w:szCs w:val="24"/>
        </w:rPr>
        <w:t xml:space="preserve"> is not certain</w:t>
      </w:r>
      <w:r w:rsidRPr="00D00B94">
        <w:rPr>
          <w:rFonts w:cs="Times New Roman"/>
          <w:color w:val="000000" w:themeColor="text1"/>
          <w:sz w:val="18"/>
          <w:szCs w:val="24"/>
        </w:rPr>
        <w:t xml:space="preserve">. This results in </w:t>
      </w:r>
      <w:r>
        <w:rPr>
          <w:rFonts w:cs="Times New Roman"/>
          <w:color w:val="000000" w:themeColor="text1"/>
          <w:sz w:val="18"/>
          <w:szCs w:val="24"/>
        </w:rPr>
        <w:t xml:space="preserve">a </w:t>
      </w:r>
      <w:r w:rsidRPr="00D00B94">
        <w:rPr>
          <w:rFonts w:cs="Times New Roman"/>
          <w:color w:val="000000" w:themeColor="text1"/>
          <w:sz w:val="18"/>
          <w:szCs w:val="24"/>
        </w:rPr>
        <w:t>reduc</w:t>
      </w:r>
      <w:r>
        <w:rPr>
          <w:rFonts w:cs="Times New Roman"/>
          <w:color w:val="000000" w:themeColor="text1"/>
          <w:sz w:val="18"/>
          <w:szCs w:val="24"/>
        </w:rPr>
        <w:t>tion</w:t>
      </w:r>
      <w:r w:rsidRPr="00D00B94">
        <w:rPr>
          <w:rFonts w:cs="Times New Roman"/>
          <w:color w:val="000000" w:themeColor="text1"/>
          <w:sz w:val="18"/>
          <w:szCs w:val="24"/>
        </w:rPr>
        <w:t xml:space="preserve"> or loss of potency of the vaccines, culminating in immunization failure post-administration and massive loss of </w:t>
      </w:r>
      <w:r>
        <w:rPr>
          <w:rFonts w:cs="Times New Roman"/>
          <w:color w:val="000000" w:themeColor="text1"/>
          <w:sz w:val="18"/>
          <w:szCs w:val="24"/>
        </w:rPr>
        <w:t>animals and poultry.</w:t>
      </w:r>
      <w:r w:rsidRPr="00D00B94">
        <w:rPr>
          <w:rFonts w:cs="Times New Roman"/>
          <w:color w:val="000000" w:themeColor="text1"/>
          <w:sz w:val="18"/>
          <w:szCs w:val="24"/>
        </w:rPr>
        <w:t xml:space="preserve"> Inconsistency in power supply at the levels of the distributors and providers, poor maintenance of the cold chain, inadequate equipment, poor personnel management, etc. result in cold chain failure and vaccine wastage.</w:t>
      </w:r>
      <w:r>
        <w:rPr>
          <w:rFonts w:cs="Times New Roman"/>
          <w:color w:val="000000" w:themeColor="text1"/>
          <w:sz w:val="18"/>
          <w:szCs w:val="24"/>
        </w:rPr>
        <w:t xml:space="preserve"> The purpose of this study is to evaluate the stability of live Newcastle Disease (LaSota) vaccines stabilized with modified starch in cold chain failure and their immunogenicity in vaccine naïve broilers in comparison to peptone. Methodology &amp; Theoretical Orientation: </w:t>
      </w:r>
      <w:r w:rsidRPr="003C039E">
        <w:rPr>
          <w:rFonts w:cs="Times New Roman"/>
          <w:sz w:val="18"/>
          <w:szCs w:val="24"/>
        </w:rPr>
        <w:t xml:space="preserve">Carboxymethylated and acetylated xerogel derivatives of starch extracted from tubers of </w:t>
      </w:r>
      <w:r w:rsidRPr="003C039E">
        <w:rPr>
          <w:rFonts w:cs="Times New Roman"/>
          <w:i/>
          <w:sz w:val="18"/>
          <w:szCs w:val="24"/>
        </w:rPr>
        <w:t>Plectranthus esculentus</w:t>
      </w:r>
      <w:r w:rsidRPr="003C039E">
        <w:rPr>
          <w:rFonts w:cs="Times New Roman"/>
          <w:sz w:val="18"/>
          <w:szCs w:val="24"/>
        </w:rPr>
        <w:t xml:space="preserve"> were assessed as freeze-dried Newcastle Disease (ND) LaSota vaccine stabilizers. Their efficiency (in comparison with peptone) when exposed to cold chain compliance (one month</w:t>
      </w:r>
      <w:r>
        <w:rPr>
          <w:rFonts w:cs="Times New Roman"/>
          <w:sz w:val="18"/>
          <w:szCs w:val="24"/>
        </w:rPr>
        <w:t xml:space="preserve"> at </w:t>
      </w:r>
      <w:r>
        <w:rPr>
          <w:rFonts w:cs="Times New Roman"/>
          <w:color w:val="000000" w:themeColor="text1"/>
          <w:sz w:val="18"/>
          <w:szCs w:val="24"/>
        </w:rPr>
        <w:t>5</w:t>
      </w:r>
      <w:r w:rsidRPr="00894262">
        <w:rPr>
          <w:rFonts w:cs="Times New Roman"/>
          <w:color w:val="000000" w:themeColor="text1"/>
          <w:sz w:val="18"/>
          <w:szCs w:val="24"/>
        </w:rPr>
        <w:t>±</w:t>
      </w:r>
      <w:r>
        <w:rPr>
          <w:rFonts w:cs="Times New Roman"/>
          <w:color w:val="000000" w:themeColor="text1"/>
          <w:sz w:val="18"/>
          <w:szCs w:val="24"/>
        </w:rPr>
        <w:t>2</w:t>
      </w:r>
      <w:r w:rsidRPr="00894262">
        <w:rPr>
          <w:rFonts w:cs="Times New Roman"/>
          <w:color w:val="000000" w:themeColor="text1"/>
          <w:sz w:val="18"/>
          <w:szCs w:val="24"/>
        </w:rPr>
        <w:t>°</w:t>
      </w:r>
      <w:r>
        <w:rPr>
          <w:rFonts w:cs="Times New Roman"/>
          <w:color w:val="000000" w:themeColor="text1"/>
          <w:sz w:val="18"/>
          <w:szCs w:val="24"/>
        </w:rPr>
        <w:t>C</w:t>
      </w:r>
      <w:r w:rsidRPr="003C039E">
        <w:rPr>
          <w:rFonts w:cs="Times New Roman"/>
          <w:sz w:val="18"/>
          <w:szCs w:val="24"/>
        </w:rPr>
        <w:t>) followed by failure (96 hours</w:t>
      </w:r>
      <w:r>
        <w:rPr>
          <w:rFonts w:cs="Times New Roman"/>
          <w:sz w:val="18"/>
          <w:szCs w:val="24"/>
        </w:rPr>
        <w:t xml:space="preserve"> </w:t>
      </w:r>
      <w:r>
        <w:rPr>
          <w:rFonts w:cs="Times New Roman"/>
          <w:color w:val="000000" w:themeColor="text1"/>
          <w:sz w:val="18"/>
          <w:szCs w:val="24"/>
        </w:rPr>
        <w:t>at 37</w:t>
      </w:r>
      <w:r w:rsidRPr="00894262">
        <w:rPr>
          <w:rFonts w:cs="Times New Roman"/>
          <w:color w:val="000000" w:themeColor="text1"/>
          <w:sz w:val="18"/>
          <w:szCs w:val="24"/>
        </w:rPr>
        <w:t>±</w:t>
      </w:r>
      <w:r>
        <w:rPr>
          <w:rFonts w:cs="Times New Roman"/>
          <w:color w:val="000000" w:themeColor="text1"/>
          <w:sz w:val="18"/>
          <w:szCs w:val="24"/>
        </w:rPr>
        <w:t>1</w:t>
      </w:r>
      <w:r w:rsidRPr="00894262">
        <w:rPr>
          <w:rFonts w:cs="Times New Roman"/>
          <w:color w:val="000000" w:themeColor="text1"/>
          <w:sz w:val="18"/>
          <w:szCs w:val="24"/>
        </w:rPr>
        <w:t>°</w:t>
      </w:r>
      <w:r>
        <w:rPr>
          <w:rFonts w:cs="Times New Roman"/>
          <w:color w:val="000000" w:themeColor="text1"/>
          <w:sz w:val="18"/>
          <w:szCs w:val="24"/>
        </w:rPr>
        <w:t>C</w:t>
      </w:r>
      <w:r w:rsidRPr="003C039E">
        <w:rPr>
          <w:rFonts w:cs="Times New Roman"/>
          <w:sz w:val="18"/>
          <w:szCs w:val="24"/>
        </w:rPr>
        <w:t xml:space="preserve">) was assessed using the mean embryo infective dose (EID50) titration as the stability-indicator. </w:t>
      </w:r>
      <w:r>
        <w:rPr>
          <w:rFonts w:cs="Times New Roman"/>
          <w:sz w:val="18"/>
          <w:szCs w:val="24"/>
        </w:rPr>
        <w:t xml:space="preserve">Their </w:t>
      </w:r>
      <w:r>
        <w:rPr>
          <w:rFonts w:cs="Times New Roman"/>
          <w:color w:val="000000" w:themeColor="text1"/>
          <w:sz w:val="18"/>
          <w:szCs w:val="24"/>
        </w:rPr>
        <w:t>immunogenicity (HI&gt;2</w:t>
      </w:r>
      <w:r>
        <w:rPr>
          <w:rFonts w:cs="Times New Roman"/>
          <w:color w:val="000000" w:themeColor="text1"/>
          <w:sz w:val="18"/>
          <w:szCs w:val="24"/>
          <w:vertAlign w:val="superscript"/>
        </w:rPr>
        <w:t>3</w:t>
      </w:r>
      <w:r>
        <w:rPr>
          <w:rFonts w:cs="Times New Roman"/>
          <w:color w:val="000000" w:themeColor="text1"/>
          <w:sz w:val="18"/>
          <w:szCs w:val="24"/>
        </w:rPr>
        <w:t xml:space="preserve">) was evaluated in broilers using haemagglutination inhibition (HI) titration. Findings: </w:t>
      </w:r>
      <w:r>
        <w:rPr>
          <w:rFonts w:cs="Times New Roman"/>
          <w:sz w:val="18"/>
          <w:szCs w:val="24"/>
        </w:rPr>
        <w:t>C</w:t>
      </w:r>
      <w:r w:rsidRPr="003C039E">
        <w:rPr>
          <w:rFonts w:cs="Times New Roman"/>
          <w:sz w:val="18"/>
          <w:szCs w:val="24"/>
        </w:rPr>
        <w:t>old chain</w:t>
      </w:r>
      <w:r>
        <w:rPr>
          <w:rFonts w:cs="Times New Roman"/>
          <w:sz w:val="18"/>
          <w:szCs w:val="24"/>
        </w:rPr>
        <w:t xml:space="preserve"> failure</w:t>
      </w:r>
      <w:r w:rsidRPr="003C039E">
        <w:rPr>
          <w:rFonts w:cs="Times New Roman"/>
          <w:sz w:val="18"/>
          <w:szCs w:val="24"/>
        </w:rPr>
        <w:t xml:space="preserve"> affected peptone stabilized vaccines (1.2 LogEID50 loss) significantly more than the starch stabilized vaccines (0.2-0.4 LogEID50 loss). The vaccines evoked immune responses (HI &gt; 2</w:t>
      </w:r>
      <w:r w:rsidRPr="003C039E">
        <w:rPr>
          <w:rFonts w:cs="Times New Roman"/>
          <w:sz w:val="18"/>
          <w:szCs w:val="24"/>
          <w:vertAlign w:val="superscript"/>
        </w:rPr>
        <w:t>3</w:t>
      </w:r>
      <w:r w:rsidRPr="003C039E">
        <w:rPr>
          <w:rFonts w:cs="Times New Roman"/>
          <w:sz w:val="18"/>
          <w:szCs w:val="24"/>
        </w:rPr>
        <w:t xml:space="preserve">) in vaccinates devoid of maternally derived antibodies. </w:t>
      </w:r>
      <w:r>
        <w:rPr>
          <w:rFonts w:cs="Times New Roman"/>
          <w:sz w:val="18"/>
          <w:szCs w:val="24"/>
        </w:rPr>
        <w:t xml:space="preserve">Conclusion &amp; Significance: </w:t>
      </w:r>
      <w:r w:rsidRPr="003C039E">
        <w:rPr>
          <w:rFonts w:cs="Times New Roman"/>
          <w:sz w:val="18"/>
          <w:szCs w:val="24"/>
        </w:rPr>
        <w:t>These starch derivatives have promise as vaccine stabilizers in situations where there is a breach in the cold chain.</w:t>
      </w:r>
    </w:p>
    <w:p w:rsidR="00254944" w:rsidRDefault="00254944" w:rsidP="00254944">
      <w:pPr>
        <w:jc w:val="both"/>
        <w:rPr>
          <w:rFonts w:cs="Times New Roman"/>
          <w:sz w:val="18"/>
          <w:szCs w:val="24"/>
        </w:rPr>
      </w:pPr>
      <w:r>
        <w:rPr>
          <w:color w:val="BF5A14"/>
        </w:rPr>
        <w:t>Image</w:t>
      </w:r>
    </w:p>
    <w:p w:rsidR="00254944" w:rsidRDefault="00254944" w:rsidP="00254944">
      <w:pPr>
        <w:jc w:val="both"/>
        <w:rPr>
          <w:rFonts w:cs="Times New Roman"/>
          <w:sz w:val="18"/>
          <w:szCs w:val="24"/>
        </w:rPr>
      </w:pPr>
      <w:r>
        <w:rPr>
          <w:rFonts w:cs="Times New Roman"/>
          <w:noProof/>
          <w:sz w:val="18"/>
          <w:szCs w:val="24"/>
        </w:rPr>
        <w:drawing>
          <wp:inline distT="0" distB="0" distL="0" distR="0" wp14:anchorId="797158E6">
            <wp:extent cx="3164205" cy="18961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4205" cy="1896110"/>
                    </a:xfrm>
                    <a:prstGeom prst="rect">
                      <a:avLst/>
                    </a:prstGeom>
                    <a:noFill/>
                  </pic:spPr>
                </pic:pic>
              </a:graphicData>
            </a:graphic>
          </wp:inline>
        </w:drawing>
      </w:r>
    </w:p>
    <w:p w:rsidR="00254944" w:rsidRPr="001839CC" w:rsidRDefault="00254944" w:rsidP="00254944">
      <w:pPr>
        <w:pStyle w:val="BodyText"/>
        <w:spacing w:before="2"/>
        <w:rPr>
          <w:rFonts w:asciiTheme="minorHAnsi" w:hAnsiTheme="minorHAnsi"/>
          <w:b/>
        </w:rPr>
      </w:pPr>
      <w:r w:rsidRPr="001839CC">
        <w:rPr>
          <w:rFonts w:asciiTheme="minorHAnsi" w:hAnsiTheme="minorHAnsi"/>
          <w:b/>
        </w:rPr>
        <w:t>Figure 1: Stability profile of peptone (NV) and starch (A1-3V, CB1-2V) stabilized vaccines in cold chain failure (CCF)</w:t>
      </w:r>
    </w:p>
    <w:p w:rsidR="00254944" w:rsidRPr="00254944" w:rsidRDefault="00254944" w:rsidP="00254944">
      <w:pPr>
        <w:jc w:val="both"/>
        <w:rPr>
          <w:rFonts w:cs="Times New Roman"/>
          <w:sz w:val="18"/>
          <w:szCs w:val="24"/>
        </w:rPr>
      </w:pPr>
    </w:p>
    <w:p w:rsidR="00D61B3D" w:rsidRDefault="00A9710C" w:rsidP="00254944">
      <w:pPr>
        <w:pStyle w:val="Heading3"/>
        <w:spacing w:before="74"/>
        <w:rPr>
          <w:b w:val="0"/>
          <w:noProof/>
          <w:color w:val="BF5A14"/>
        </w:rPr>
      </w:pPr>
      <w:r>
        <w:rPr>
          <w:b w:val="0"/>
        </w:rPr>
        <w:br w:type="column"/>
      </w:r>
    </w:p>
    <w:p w:rsidR="00D61B3D" w:rsidRDefault="00CC71DC">
      <w:pPr>
        <w:pStyle w:val="BodyText"/>
        <w:spacing w:before="2"/>
        <w:rPr>
          <w:rFonts w:ascii="Arial"/>
          <w:b/>
          <w:noProof/>
          <w:color w:val="BF5A14"/>
          <w:sz w:val="20"/>
        </w:rPr>
      </w:pPr>
      <w:r>
        <w:rPr>
          <w:noProof/>
        </w:rPr>
        <w:drawing>
          <wp:inline distT="0" distB="0" distL="0" distR="0" wp14:anchorId="38359889" wp14:editId="5BE0FC20">
            <wp:extent cx="3165475" cy="18872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BEBA8EAE-BF5A-486C-A8C5-ECC9F3942E4B}">
                          <a14:imgProps xmlns:a14="http://schemas.microsoft.com/office/drawing/2010/main">
                            <a14:imgLayer r:embed="rId11">
                              <a14:imgEffect>
                                <a14:sharpenSoften amount="25000"/>
                              </a14:imgEffect>
                            </a14:imgLayer>
                          </a14:imgProps>
                        </a:ext>
                      </a:extLst>
                    </a:blip>
                    <a:stretch>
                      <a:fillRect/>
                    </a:stretch>
                  </pic:blipFill>
                  <pic:spPr>
                    <a:xfrm>
                      <a:off x="0" y="0"/>
                      <a:ext cx="3165475" cy="1887220"/>
                    </a:xfrm>
                    <a:prstGeom prst="rect">
                      <a:avLst/>
                    </a:prstGeom>
                  </pic:spPr>
                </pic:pic>
              </a:graphicData>
            </a:graphic>
          </wp:inline>
        </w:drawing>
      </w:r>
    </w:p>
    <w:p w:rsidR="00D61B3D" w:rsidRDefault="00D61B3D" w:rsidP="00D61B3D">
      <w:pPr>
        <w:pStyle w:val="BodyText"/>
        <w:spacing w:before="2"/>
        <w:rPr>
          <w:rFonts w:ascii="Arial"/>
          <w:b/>
          <w:color w:val="BF5A14"/>
          <w:sz w:val="20"/>
        </w:rPr>
      </w:pPr>
      <w:r w:rsidRPr="001839CC">
        <w:rPr>
          <w:rFonts w:asciiTheme="minorHAnsi" w:hAnsiTheme="minorHAnsi"/>
          <w:b/>
        </w:rPr>
        <w:t xml:space="preserve">Figure </w:t>
      </w:r>
      <w:r>
        <w:rPr>
          <w:rFonts w:asciiTheme="minorHAnsi" w:hAnsiTheme="minorHAnsi"/>
          <w:b/>
        </w:rPr>
        <w:t>2</w:t>
      </w:r>
      <w:r w:rsidRPr="001839CC">
        <w:rPr>
          <w:rFonts w:asciiTheme="minorHAnsi" w:hAnsiTheme="minorHAnsi"/>
          <w:b/>
        </w:rPr>
        <w:t>:</w:t>
      </w:r>
      <w:r w:rsidRPr="00D61B3D">
        <w:rPr>
          <w:rFonts w:cs="Times New Roman"/>
          <w:b/>
          <w:szCs w:val="24"/>
        </w:rPr>
        <w:t xml:space="preserve"> </w:t>
      </w:r>
      <w:r>
        <w:rPr>
          <w:rFonts w:cs="Times New Roman"/>
          <w:b/>
          <w:szCs w:val="24"/>
        </w:rPr>
        <w:t>Serum antibody titres (± SEM) of broilers (n = 10) after a single dose vaccination with vaccines subjected to cold chain failure for 96 h. Green broken line = protective level.  Black broken line = immunogenic level. UVC=unvaccinated control</w:t>
      </w:r>
    </w:p>
    <w:p w:rsidR="00D61B3D" w:rsidRDefault="00D61B3D"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1839CC" w:rsidRPr="009C4772" w:rsidRDefault="001839CC" w:rsidP="001839CC">
      <w:pPr>
        <w:pStyle w:val="ListParagraph"/>
        <w:widowControl/>
        <w:numPr>
          <w:ilvl w:val="0"/>
          <w:numId w:val="4"/>
        </w:numPr>
        <w:spacing w:before="0" w:after="160" w:line="240" w:lineRule="auto"/>
        <w:contextualSpacing/>
        <w:jc w:val="left"/>
        <w:rPr>
          <w:rFonts w:asciiTheme="minorHAnsi" w:hAnsiTheme="minorHAnsi" w:cs="Times New Roman"/>
          <w:sz w:val="18"/>
          <w:szCs w:val="18"/>
        </w:rPr>
      </w:pPr>
      <w:r w:rsidRPr="009C4772">
        <w:rPr>
          <w:rFonts w:asciiTheme="minorHAnsi" w:hAnsiTheme="minorHAnsi"/>
          <w:b/>
          <w:sz w:val="18"/>
          <w:szCs w:val="18"/>
        </w:rPr>
        <w:t>Guktur RE</w:t>
      </w:r>
      <w:r w:rsidRPr="009C4772">
        <w:rPr>
          <w:rFonts w:asciiTheme="minorHAnsi" w:hAnsiTheme="minorHAnsi"/>
          <w:sz w:val="18"/>
          <w:szCs w:val="18"/>
        </w:rPr>
        <w:t>, Nep EI, Kemas CU, Olorunfemi PO, Ngwuluka NC, Ochekpe NA, Sagay AS</w:t>
      </w:r>
      <w:r w:rsidRPr="009C4772">
        <w:rPr>
          <w:rFonts w:asciiTheme="minorHAnsi" w:hAnsiTheme="minorHAnsi" w:cs="Times New Roman"/>
          <w:sz w:val="18"/>
          <w:szCs w:val="18"/>
        </w:rPr>
        <w:t xml:space="preserve"> (2022) </w:t>
      </w:r>
      <w:r w:rsidRPr="009C4772">
        <w:rPr>
          <w:rFonts w:asciiTheme="minorHAnsi" w:hAnsiTheme="minorHAnsi"/>
          <w:sz w:val="18"/>
          <w:szCs w:val="18"/>
        </w:rPr>
        <w:t xml:space="preserve">Effects of Autoclaving and Freeze-drying on Physicochemical Properties of </w:t>
      </w:r>
      <w:r w:rsidRPr="009C4772">
        <w:rPr>
          <w:rFonts w:asciiTheme="minorHAnsi" w:hAnsiTheme="minorHAnsi"/>
          <w:i/>
          <w:sz w:val="18"/>
          <w:szCs w:val="18"/>
        </w:rPr>
        <w:t>Plectranthus esculentus</w:t>
      </w:r>
      <w:r w:rsidRPr="009C4772">
        <w:rPr>
          <w:rFonts w:asciiTheme="minorHAnsi" w:hAnsiTheme="minorHAnsi"/>
          <w:sz w:val="18"/>
          <w:szCs w:val="18"/>
        </w:rPr>
        <w:t xml:space="preserve"> Starch Derivatives. </w:t>
      </w:r>
      <w:r w:rsidRPr="009C4772">
        <w:rPr>
          <w:rFonts w:asciiTheme="minorHAnsi" w:hAnsiTheme="minorHAnsi" w:cs="Times New Roman"/>
          <w:i/>
          <w:sz w:val="18"/>
          <w:szCs w:val="18"/>
        </w:rPr>
        <w:t xml:space="preserve">AAPS PharmSciTech, </w:t>
      </w:r>
      <w:r w:rsidRPr="009C4772">
        <w:rPr>
          <w:rFonts w:asciiTheme="minorHAnsi" w:hAnsiTheme="minorHAnsi" w:cs="Times New Roman"/>
          <w:sz w:val="18"/>
          <w:szCs w:val="18"/>
        </w:rPr>
        <w:t xml:space="preserve">23:172 </w:t>
      </w:r>
      <w:hyperlink r:id="rId12" w:history="1">
        <w:r w:rsidRPr="009C4772">
          <w:rPr>
            <w:rStyle w:val="Hyperlink"/>
            <w:rFonts w:asciiTheme="minorHAnsi" w:hAnsiTheme="minorHAnsi" w:cs="Times New Roman"/>
            <w:sz w:val="18"/>
            <w:szCs w:val="18"/>
          </w:rPr>
          <w:t>https://doi.org/10.1208/s12249-022-02300-1</w:t>
        </w:r>
      </w:hyperlink>
      <w:r w:rsidRPr="009C4772">
        <w:rPr>
          <w:rFonts w:asciiTheme="minorHAnsi" w:hAnsiTheme="minorHAnsi" w:cs="Times New Roman"/>
          <w:sz w:val="18"/>
          <w:szCs w:val="18"/>
        </w:rPr>
        <w:t xml:space="preserve"> </w:t>
      </w:r>
    </w:p>
    <w:p w:rsidR="001839CC" w:rsidRPr="009C4772" w:rsidRDefault="001839CC" w:rsidP="001839CC">
      <w:pPr>
        <w:pStyle w:val="ListParagraph"/>
        <w:spacing w:line="240" w:lineRule="auto"/>
        <w:ind w:left="720" w:firstLine="0"/>
        <w:jc w:val="left"/>
        <w:rPr>
          <w:rFonts w:asciiTheme="minorHAnsi" w:hAnsiTheme="minorHAnsi" w:cs="Times New Roman"/>
          <w:sz w:val="18"/>
          <w:szCs w:val="18"/>
        </w:rPr>
      </w:pPr>
    </w:p>
    <w:p w:rsidR="001839CC" w:rsidRPr="009C4772" w:rsidRDefault="001839CC" w:rsidP="001839CC">
      <w:pPr>
        <w:pStyle w:val="ListParagraph"/>
        <w:widowControl/>
        <w:numPr>
          <w:ilvl w:val="0"/>
          <w:numId w:val="4"/>
        </w:numPr>
        <w:spacing w:before="0" w:after="160" w:line="240" w:lineRule="auto"/>
        <w:contextualSpacing/>
        <w:jc w:val="left"/>
        <w:rPr>
          <w:rStyle w:val="Hyperlink"/>
          <w:rFonts w:asciiTheme="minorHAnsi" w:hAnsiTheme="minorHAnsi" w:cs="Times New Roman"/>
          <w:sz w:val="18"/>
          <w:szCs w:val="18"/>
          <w:u w:val="none"/>
        </w:rPr>
      </w:pPr>
      <w:r w:rsidRPr="009C4772">
        <w:rPr>
          <w:rFonts w:asciiTheme="minorHAnsi" w:hAnsiTheme="minorHAnsi" w:cs="Times New Roman"/>
          <w:b/>
          <w:sz w:val="18"/>
          <w:szCs w:val="18"/>
        </w:rPr>
        <w:t>Guktur RE</w:t>
      </w:r>
      <w:r w:rsidRPr="009C4772">
        <w:rPr>
          <w:rFonts w:asciiTheme="minorHAnsi" w:hAnsiTheme="minorHAnsi" w:cs="Times New Roman"/>
          <w:sz w:val="18"/>
          <w:szCs w:val="18"/>
        </w:rPr>
        <w:t xml:space="preserve">, Nep EI, Asala O, Olorunfemi P, Ngwuluka NC, Ochekpe NA, Sagay AS (2021) Carboxymethylated and acetylated xerogel derivatives of </w:t>
      </w:r>
      <w:r w:rsidRPr="009C4772">
        <w:rPr>
          <w:rFonts w:asciiTheme="minorHAnsi" w:hAnsiTheme="minorHAnsi" w:cs="Times New Roman"/>
          <w:i/>
          <w:sz w:val="18"/>
          <w:szCs w:val="18"/>
        </w:rPr>
        <w:t>Plectranthus esculentus</w:t>
      </w:r>
      <w:r w:rsidRPr="009C4772">
        <w:rPr>
          <w:rFonts w:asciiTheme="minorHAnsi" w:hAnsiTheme="minorHAnsi" w:cs="Times New Roman"/>
          <w:sz w:val="18"/>
          <w:szCs w:val="18"/>
        </w:rPr>
        <w:t xml:space="preserve"> starch protect Newcastle Disease Vaccines against cold chain failure. </w:t>
      </w:r>
      <w:r w:rsidRPr="009C4772">
        <w:rPr>
          <w:rFonts w:asciiTheme="minorHAnsi" w:hAnsiTheme="minorHAnsi" w:cs="Times New Roman"/>
          <w:i/>
          <w:sz w:val="18"/>
          <w:szCs w:val="18"/>
        </w:rPr>
        <w:t>Vaccine</w:t>
      </w:r>
      <w:r w:rsidRPr="009C4772">
        <w:rPr>
          <w:rFonts w:asciiTheme="minorHAnsi" w:hAnsiTheme="minorHAnsi" w:cs="Times New Roman"/>
          <w:sz w:val="18"/>
          <w:szCs w:val="18"/>
        </w:rPr>
        <w:t>, 39 (2021):4871-4884</w:t>
      </w:r>
      <w:r w:rsidRPr="009C4772">
        <w:rPr>
          <w:rFonts w:cs="Times New Roman"/>
          <w:sz w:val="18"/>
          <w:szCs w:val="18"/>
        </w:rPr>
        <w:t xml:space="preserve"> </w:t>
      </w:r>
      <w:hyperlink r:id="rId13" w:history="1">
        <w:r w:rsidRPr="009C4772">
          <w:rPr>
            <w:rStyle w:val="Hyperlink"/>
            <w:rFonts w:asciiTheme="minorHAnsi" w:hAnsiTheme="minorHAnsi" w:cs="Times New Roman"/>
            <w:sz w:val="18"/>
            <w:szCs w:val="18"/>
          </w:rPr>
          <w:t>https://doi.org/10.1016/j.vaccine.2021.06.062</w:t>
        </w:r>
      </w:hyperlink>
      <w:r w:rsidRPr="009C4772">
        <w:rPr>
          <w:rStyle w:val="Hyperlink"/>
          <w:rFonts w:asciiTheme="minorHAnsi" w:hAnsiTheme="minorHAnsi" w:cs="Times New Roman"/>
          <w:sz w:val="18"/>
          <w:szCs w:val="18"/>
        </w:rPr>
        <w:t xml:space="preserve"> </w:t>
      </w:r>
    </w:p>
    <w:p w:rsidR="001839CC" w:rsidRPr="009C4772" w:rsidRDefault="001839CC" w:rsidP="001839CC">
      <w:pPr>
        <w:pStyle w:val="ListParagraph"/>
        <w:jc w:val="left"/>
        <w:rPr>
          <w:rFonts w:asciiTheme="minorHAnsi" w:hAnsiTheme="minorHAnsi" w:cs="Times New Roman"/>
          <w:sz w:val="18"/>
          <w:szCs w:val="18"/>
        </w:rPr>
      </w:pPr>
    </w:p>
    <w:p w:rsidR="001839CC" w:rsidRPr="009C4772" w:rsidRDefault="001839CC" w:rsidP="001839CC">
      <w:pPr>
        <w:pStyle w:val="ListParagraph"/>
        <w:widowControl/>
        <w:numPr>
          <w:ilvl w:val="0"/>
          <w:numId w:val="4"/>
        </w:numPr>
        <w:spacing w:before="0" w:after="160" w:line="240" w:lineRule="auto"/>
        <w:contextualSpacing/>
        <w:jc w:val="left"/>
        <w:rPr>
          <w:rFonts w:asciiTheme="minorHAnsi" w:hAnsiTheme="minorHAnsi" w:cs="Times New Roman"/>
          <w:sz w:val="18"/>
          <w:szCs w:val="18"/>
        </w:rPr>
      </w:pPr>
      <w:r w:rsidRPr="009C4772">
        <w:rPr>
          <w:rFonts w:asciiTheme="minorHAnsi" w:hAnsiTheme="minorHAnsi" w:cs="Times New Roman"/>
          <w:sz w:val="18"/>
          <w:szCs w:val="18"/>
        </w:rPr>
        <w:t xml:space="preserve">Kemas CU, </w:t>
      </w:r>
      <w:r w:rsidRPr="009C4772">
        <w:rPr>
          <w:rFonts w:asciiTheme="minorHAnsi" w:hAnsiTheme="minorHAnsi" w:cs="Times New Roman"/>
          <w:b/>
          <w:sz w:val="18"/>
          <w:szCs w:val="18"/>
        </w:rPr>
        <w:t>Guktur RE</w:t>
      </w:r>
      <w:r w:rsidRPr="009C4772">
        <w:rPr>
          <w:rFonts w:asciiTheme="minorHAnsi" w:hAnsiTheme="minorHAnsi" w:cs="Times New Roman"/>
          <w:sz w:val="18"/>
          <w:szCs w:val="18"/>
        </w:rPr>
        <w:t xml:space="preserve">, Ochekpe NA, Ngwuluka NC, Nep EI (2020) Physicochemical, rheological and functional properties of modified starches from the tubers of </w:t>
      </w:r>
      <w:r w:rsidRPr="009C4772">
        <w:rPr>
          <w:rFonts w:asciiTheme="minorHAnsi" w:hAnsiTheme="minorHAnsi" w:cs="Times New Roman"/>
          <w:i/>
          <w:sz w:val="18"/>
          <w:szCs w:val="18"/>
        </w:rPr>
        <w:t>Plectranthus esculentus</w:t>
      </w:r>
      <w:r w:rsidRPr="009C4772">
        <w:rPr>
          <w:rFonts w:asciiTheme="minorHAnsi" w:hAnsiTheme="minorHAnsi" w:cs="Times New Roman"/>
          <w:sz w:val="18"/>
          <w:szCs w:val="18"/>
        </w:rPr>
        <w:t xml:space="preserve">. </w:t>
      </w:r>
      <w:r w:rsidRPr="009C4772">
        <w:rPr>
          <w:rFonts w:asciiTheme="minorHAnsi" w:hAnsiTheme="minorHAnsi" w:cs="Times New Roman"/>
          <w:i/>
          <w:sz w:val="18"/>
          <w:szCs w:val="18"/>
        </w:rPr>
        <w:t>British Journal of Pharmacy</w:t>
      </w:r>
      <w:r w:rsidRPr="009C4772">
        <w:rPr>
          <w:rFonts w:asciiTheme="minorHAnsi" w:hAnsiTheme="minorHAnsi" w:cs="Times New Roman"/>
          <w:sz w:val="18"/>
          <w:szCs w:val="18"/>
        </w:rPr>
        <w:t xml:space="preserve">, 4(2):684 </w:t>
      </w:r>
      <w:hyperlink r:id="rId14" w:history="1">
        <w:r w:rsidRPr="009C4772">
          <w:rPr>
            <w:rStyle w:val="Hyperlink"/>
            <w:rFonts w:asciiTheme="minorHAnsi" w:hAnsiTheme="minorHAnsi" w:cs="Times New Roman"/>
            <w:sz w:val="18"/>
            <w:szCs w:val="18"/>
          </w:rPr>
          <w:t>https://doi.org/10.5920/bjpharm.684</w:t>
        </w:r>
      </w:hyperlink>
      <w:r w:rsidRPr="009C4772">
        <w:rPr>
          <w:rFonts w:asciiTheme="minorHAnsi" w:hAnsiTheme="minorHAnsi" w:cs="Times New Roman"/>
          <w:sz w:val="18"/>
          <w:szCs w:val="18"/>
        </w:rPr>
        <w:t xml:space="preserve"> </w:t>
      </w:r>
    </w:p>
    <w:p w:rsidR="001839CC" w:rsidRPr="009C4772" w:rsidRDefault="001839CC" w:rsidP="001839CC">
      <w:pPr>
        <w:pStyle w:val="ListParagraph"/>
        <w:ind w:left="720" w:firstLine="0"/>
        <w:jc w:val="left"/>
        <w:rPr>
          <w:rFonts w:asciiTheme="minorHAnsi" w:hAnsiTheme="minorHAnsi" w:cs="Times New Roman"/>
          <w:sz w:val="18"/>
          <w:szCs w:val="18"/>
        </w:rPr>
      </w:pPr>
      <w:r w:rsidRPr="009C4772">
        <w:rPr>
          <w:rFonts w:asciiTheme="minorHAnsi" w:hAnsiTheme="minorHAnsi" w:cs="Times New Roman"/>
          <w:sz w:val="18"/>
          <w:szCs w:val="18"/>
        </w:rPr>
        <w:t xml:space="preserve"> </w:t>
      </w:r>
    </w:p>
    <w:p w:rsidR="00AE3E37" w:rsidRPr="0076479C" w:rsidRDefault="001839CC" w:rsidP="0076479C">
      <w:pPr>
        <w:pStyle w:val="ListParagraph"/>
        <w:widowControl/>
        <w:numPr>
          <w:ilvl w:val="0"/>
          <w:numId w:val="4"/>
        </w:numPr>
        <w:tabs>
          <w:tab w:val="left" w:pos="384"/>
        </w:tabs>
        <w:spacing w:before="0" w:after="160"/>
        <w:ind w:right="117"/>
        <w:contextualSpacing/>
        <w:jc w:val="left"/>
        <w:sectPr w:rsidR="00AE3E37" w:rsidRPr="0076479C">
          <w:type w:val="continuous"/>
          <w:pgSz w:w="11910" w:h="16840"/>
          <w:pgMar w:top="1740" w:right="600" w:bottom="840" w:left="620" w:header="720" w:footer="720" w:gutter="0"/>
          <w:cols w:num="2" w:space="720" w:equalWidth="0">
            <w:col w:w="5214" w:space="138"/>
            <w:col w:w="5338"/>
          </w:cols>
        </w:sectPr>
      </w:pPr>
      <w:r w:rsidRPr="0076479C">
        <w:rPr>
          <w:rFonts w:asciiTheme="minorHAnsi" w:hAnsiTheme="minorHAnsi"/>
          <w:b/>
          <w:sz w:val="18"/>
          <w:szCs w:val="18"/>
        </w:rPr>
        <w:t>Guktur RE,</w:t>
      </w:r>
      <w:r w:rsidRPr="0076479C">
        <w:rPr>
          <w:rFonts w:asciiTheme="minorHAnsi" w:hAnsiTheme="minorHAnsi"/>
          <w:sz w:val="18"/>
          <w:szCs w:val="18"/>
        </w:rPr>
        <w:t xml:space="preserve"> Olorunfemi P, Nwosuh C, Asala O, Ochekpe NA (2013) Effects of temperature on stability of haemmagglutination titers of stabilized Newcastle Disease vaccines. </w:t>
      </w:r>
      <w:r w:rsidRPr="0076479C">
        <w:rPr>
          <w:rFonts w:asciiTheme="minorHAnsi" w:hAnsiTheme="minorHAnsi"/>
          <w:i/>
          <w:sz w:val="18"/>
          <w:szCs w:val="18"/>
        </w:rPr>
        <w:t>World Journal of Pharmacy and Pharmaceutical Sciences</w:t>
      </w:r>
      <w:r w:rsidRPr="0076479C">
        <w:rPr>
          <w:rFonts w:asciiTheme="minorHAnsi" w:hAnsiTheme="minorHAnsi"/>
          <w:sz w:val="18"/>
          <w:szCs w:val="18"/>
        </w:rPr>
        <w:t>, 2(6): 4168 -4176</w:t>
      </w:r>
      <w:r w:rsidR="008756E6" w:rsidRPr="0076479C">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0D46A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130E12">
        <w:rPr>
          <w:noProof/>
        </w:rPr>
        <w:drawing>
          <wp:inline distT="0" distB="0" distL="0" distR="0" wp14:anchorId="3DAC2618">
            <wp:extent cx="640080" cy="730637"/>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730637"/>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AE3E37" w:rsidRDefault="001839CC">
      <w:pPr>
        <w:spacing w:before="41" w:line="154" w:lineRule="exact"/>
        <w:ind w:left="213" w:right="231"/>
        <w:jc w:val="both"/>
        <w:rPr>
          <w:rFonts w:ascii="Arial"/>
          <w:sz w:val="14"/>
        </w:rPr>
      </w:pPr>
      <w:r>
        <w:rPr>
          <w:rFonts w:ascii="Arial"/>
          <w:sz w:val="14"/>
        </w:rPr>
        <w:t xml:space="preserve">Ruth Guktur </w:t>
      </w:r>
      <w:r w:rsidR="00FD593C">
        <w:rPr>
          <w:rFonts w:ascii="Arial"/>
          <w:sz w:val="14"/>
        </w:rPr>
        <w:t>is a production pharmacist</w:t>
      </w:r>
      <w:r w:rsidR="00A9710C">
        <w:rPr>
          <w:rFonts w:ascii="Arial"/>
          <w:sz w:val="14"/>
        </w:rPr>
        <w:t xml:space="preserve"> </w:t>
      </w:r>
      <w:r w:rsidR="00FD593C">
        <w:rPr>
          <w:rFonts w:ascii="Arial"/>
          <w:sz w:val="14"/>
        </w:rPr>
        <w:t>with</w:t>
      </w:r>
      <w:r w:rsidR="00A9710C">
        <w:rPr>
          <w:rFonts w:ascii="Arial"/>
          <w:sz w:val="14"/>
        </w:rPr>
        <w:t xml:space="preserve"> expertise in </w:t>
      </w:r>
      <w:r>
        <w:rPr>
          <w:rFonts w:ascii="Arial"/>
          <w:sz w:val="14"/>
        </w:rPr>
        <w:t xml:space="preserve">veterinary viral vaccines </w:t>
      </w:r>
      <w:r w:rsidR="00A406B3">
        <w:rPr>
          <w:rFonts w:ascii="Arial"/>
          <w:sz w:val="14"/>
        </w:rPr>
        <w:t xml:space="preserve">production </w:t>
      </w:r>
      <w:r>
        <w:rPr>
          <w:rFonts w:ascii="Arial"/>
          <w:sz w:val="14"/>
        </w:rPr>
        <w:t>media and vaccine production. She has</w:t>
      </w:r>
      <w:r w:rsidR="00A9710C">
        <w:rPr>
          <w:rFonts w:ascii="Arial"/>
          <w:sz w:val="14"/>
        </w:rPr>
        <w:t xml:space="preserve"> </w:t>
      </w:r>
      <w:r>
        <w:rPr>
          <w:rFonts w:ascii="Arial"/>
          <w:sz w:val="14"/>
        </w:rPr>
        <w:t>interest</w:t>
      </w:r>
      <w:r w:rsidR="00A9710C">
        <w:rPr>
          <w:rFonts w:ascii="Arial"/>
          <w:sz w:val="14"/>
        </w:rPr>
        <w:t xml:space="preserve"> in improving </w:t>
      </w:r>
      <w:r>
        <w:rPr>
          <w:rFonts w:ascii="Arial"/>
          <w:sz w:val="14"/>
        </w:rPr>
        <w:t>vaccine stability in developing countries</w:t>
      </w:r>
      <w:r w:rsidR="00A406B3">
        <w:rPr>
          <w:rFonts w:ascii="Arial"/>
          <w:sz w:val="14"/>
        </w:rPr>
        <w:t xml:space="preserve"> from bio-friendly and bio-renewable sources</w:t>
      </w:r>
      <w:r w:rsidR="00A9710C">
        <w:rPr>
          <w:rFonts w:ascii="Arial"/>
          <w:sz w:val="14"/>
        </w:rPr>
        <w:t xml:space="preserve">. Her </w:t>
      </w:r>
      <w:r w:rsidR="00A406B3">
        <w:rPr>
          <w:rFonts w:ascii="Arial"/>
          <w:sz w:val="14"/>
        </w:rPr>
        <w:t>stability studies of freeze dried Newcastle disease vaccines using different excipients as stabilizers especially the use of starch derivatives has recently shown their potential as vaccine excipients in countries prone to cold chain failure</w:t>
      </w:r>
      <w:r w:rsidR="00A9710C">
        <w:rPr>
          <w:rFonts w:ascii="Arial"/>
          <w:sz w:val="14"/>
        </w:rPr>
        <w:t>.</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A406B3">
        <w:rPr>
          <w:rFonts w:ascii="Arial"/>
          <w:sz w:val="14"/>
        </w:rPr>
        <w:t xml:space="preserve"> her knowledge base on vaccine excipients</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406B3">
        <w:rPr>
          <w:rFonts w:ascii="Arial"/>
          <w:sz w:val="14"/>
        </w:rPr>
        <w:t xml:space="preserve">live veterinary viral vaccines (Newcastle Disease- LaSota, Komorov, I2, Hitchner B1; </w:t>
      </w:r>
      <w:r w:rsidR="0076479C">
        <w:rPr>
          <w:rFonts w:ascii="Arial"/>
          <w:sz w:val="14"/>
        </w:rPr>
        <w:t>Antirabies; fowl pox; Gumboro; Peste de</w:t>
      </w:r>
      <w:r w:rsidR="00B55EFE">
        <w:rPr>
          <w:rFonts w:ascii="Arial"/>
          <w:sz w:val="14"/>
        </w:rPr>
        <w:t>s</w:t>
      </w:r>
      <w:r w:rsidR="0076479C">
        <w:rPr>
          <w:rFonts w:ascii="Arial"/>
          <w:sz w:val="14"/>
        </w:rPr>
        <w:t xml:space="preserve"> Petit Ruminant</w:t>
      </w:r>
      <w:r w:rsidR="00B55EFE">
        <w:rPr>
          <w:rFonts w:ascii="Arial"/>
          <w:sz w:val="14"/>
        </w:rPr>
        <w:t>s</w:t>
      </w:r>
      <w:bookmarkStart w:id="0" w:name="_GoBack"/>
      <w:bookmarkEnd w:id="0"/>
      <w:r w:rsidR="0076479C">
        <w:rPr>
          <w:rFonts w:ascii="Arial"/>
          <w:sz w:val="14"/>
        </w:rPr>
        <w:t xml:space="preserve"> </w:t>
      </w:r>
      <w:r w:rsidR="00A406B3">
        <w:rPr>
          <w:rFonts w:ascii="Arial"/>
          <w:sz w:val="14"/>
        </w:rPr>
        <w:t xml:space="preserve">) production, </w:t>
      </w:r>
      <w:r w:rsidR="00A9710C">
        <w:rPr>
          <w:rFonts w:ascii="Arial"/>
          <w:sz w:val="14"/>
        </w:rPr>
        <w:t>research</w:t>
      </w:r>
      <w:r w:rsidR="00A406B3">
        <w:rPr>
          <w:rFonts w:ascii="Arial"/>
          <w:sz w:val="14"/>
        </w:rPr>
        <w:t xml:space="preserve"> into and preparation of virus propagating</w:t>
      </w:r>
      <w:r w:rsidR="0076479C">
        <w:rPr>
          <w:rFonts w:ascii="Arial"/>
          <w:sz w:val="14"/>
        </w:rPr>
        <w:t>,</w:t>
      </w:r>
      <w:r w:rsidR="00A406B3">
        <w:rPr>
          <w:rFonts w:ascii="Arial"/>
          <w:sz w:val="14"/>
        </w:rPr>
        <w:t xml:space="preserve"> maintenance</w:t>
      </w:r>
      <w:r w:rsidR="0076479C">
        <w:rPr>
          <w:rFonts w:ascii="Arial"/>
          <w:sz w:val="14"/>
        </w:rPr>
        <w:t xml:space="preserve"> and stabilizing</w:t>
      </w:r>
      <w:r w:rsidR="00A406B3">
        <w:rPr>
          <w:rFonts w:ascii="Arial"/>
          <w:sz w:val="14"/>
        </w:rPr>
        <w:t xml:space="preserve"> media</w:t>
      </w:r>
      <w:r w:rsidR="00A9710C">
        <w:rPr>
          <w:rFonts w:ascii="Arial"/>
          <w:sz w:val="14"/>
        </w:rPr>
        <w:t>,</w:t>
      </w:r>
      <w:r w:rsidR="000E2911">
        <w:rPr>
          <w:rFonts w:ascii="Arial"/>
          <w:sz w:val="14"/>
        </w:rPr>
        <w:t xml:space="preserve"> </w:t>
      </w:r>
      <w:r w:rsidR="00A9710C">
        <w:rPr>
          <w:rFonts w:ascii="Arial"/>
          <w:sz w:val="14"/>
        </w:rPr>
        <w:t>evaluation</w:t>
      </w:r>
      <w:r w:rsidR="00A406B3">
        <w:rPr>
          <w:rFonts w:ascii="Arial"/>
          <w:sz w:val="14"/>
        </w:rPr>
        <w:t xml:space="preserve"> and monitoring of their </w:t>
      </w:r>
      <w:r w:rsidR="0076479C">
        <w:rPr>
          <w:rFonts w:ascii="Arial"/>
          <w:sz w:val="14"/>
        </w:rPr>
        <w:t xml:space="preserve">stability and </w:t>
      </w:r>
      <w:r w:rsidR="00A406B3">
        <w:rPr>
          <w:rFonts w:ascii="Arial"/>
          <w:sz w:val="14"/>
        </w:rPr>
        <w:t>efficacy</w:t>
      </w:r>
      <w:r w:rsidR="000E2911">
        <w:rPr>
          <w:rFonts w:ascii="Arial"/>
          <w:sz w:val="14"/>
        </w:rPr>
        <w:t xml:space="preserve"> </w:t>
      </w:r>
      <w:r w:rsidR="00A9710C">
        <w:rPr>
          <w:rFonts w:ascii="Arial"/>
          <w:sz w:val="14"/>
        </w:rPr>
        <w:t>both in</w:t>
      </w:r>
      <w:r w:rsidR="0076479C">
        <w:rPr>
          <w:rFonts w:ascii="Arial"/>
          <w:sz w:val="14"/>
        </w:rPr>
        <w:t>-process</w:t>
      </w:r>
      <w:r w:rsidR="00A9710C">
        <w:rPr>
          <w:rFonts w:ascii="Arial"/>
          <w:sz w:val="14"/>
        </w:rPr>
        <w:t xml:space="preserve"> and</w:t>
      </w:r>
      <w:r w:rsidR="0076479C">
        <w:rPr>
          <w:rFonts w:ascii="Arial"/>
          <w:sz w:val="14"/>
        </w:rPr>
        <w:t xml:space="preserve"> post</w:t>
      </w:r>
      <w:r w:rsidR="00A9710C">
        <w:rPr>
          <w:rFonts w:ascii="Arial"/>
          <w:sz w:val="14"/>
        </w:rPr>
        <w:t xml:space="preserve"> </w:t>
      </w:r>
      <w:r w:rsidR="0076479C">
        <w:rPr>
          <w:rFonts w:ascii="Arial"/>
          <w:sz w:val="14"/>
        </w:rPr>
        <w:t>production</w:t>
      </w:r>
      <w:r w:rsidR="00A9710C">
        <w:rPr>
          <w:rFonts w:ascii="Arial"/>
          <w:sz w:val="14"/>
        </w:rPr>
        <w:t xml:space="preserve">. </w:t>
      </w:r>
      <w:r w:rsidR="0076479C">
        <w:rPr>
          <w:rFonts w:ascii="Arial"/>
          <w:sz w:val="14"/>
        </w:rPr>
        <w:t>The potential use and efficacy of the starch derivatives have been demonstrated (Guktur et al., 2021)</w:t>
      </w:r>
      <w:r w:rsidR="00A9710C">
        <w:rPr>
          <w:rFonts w:ascii="Arial"/>
          <w:sz w:val="14"/>
        </w:rPr>
        <w:t xml:space="preserve"> </w:t>
      </w:r>
      <w:r w:rsidR="0076479C">
        <w:rPr>
          <w:rFonts w:ascii="Arial"/>
          <w:sz w:val="14"/>
        </w:rPr>
        <w:t>with live Newcastle Disease LaSota vaccine</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6" w:history="1">
        <w:r w:rsidR="001839CC" w:rsidRPr="002B5C71">
          <w:rPr>
            <w:rStyle w:val="Hyperlink"/>
            <w:rFonts w:ascii="Arial"/>
            <w:sz w:val="14"/>
          </w:rPr>
          <w:t>enayi88ic@gmail.com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DD7C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7A3" w:rsidRDefault="009367A3">
      <w:r>
        <w:separator/>
      </w:r>
    </w:p>
  </w:endnote>
  <w:endnote w:type="continuationSeparator" w:id="0">
    <w:p w:rsidR="009367A3" w:rsidRDefault="00936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7A3" w:rsidRDefault="009367A3">
      <w:r>
        <w:separator/>
      </w:r>
    </w:p>
  </w:footnote>
  <w:footnote w:type="continuationSeparator" w:id="0">
    <w:p w:rsidR="009367A3" w:rsidRDefault="009367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9C4D40"/>
    <w:multiLevelType w:val="hybridMultilevel"/>
    <w:tmpl w:val="4A505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17C"/>
    <w:rsid w:val="000E2911"/>
    <w:rsid w:val="000F6791"/>
    <w:rsid w:val="001263DF"/>
    <w:rsid w:val="00130E12"/>
    <w:rsid w:val="001839CC"/>
    <w:rsid w:val="001E763C"/>
    <w:rsid w:val="00254944"/>
    <w:rsid w:val="00292ED9"/>
    <w:rsid w:val="00314AFB"/>
    <w:rsid w:val="003B76D9"/>
    <w:rsid w:val="00404E5B"/>
    <w:rsid w:val="00414F7B"/>
    <w:rsid w:val="004355DC"/>
    <w:rsid w:val="004749B4"/>
    <w:rsid w:val="00494130"/>
    <w:rsid w:val="004F3523"/>
    <w:rsid w:val="00587C99"/>
    <w:rsid w:val="005973B9"/>
    <w:rsid w:val="005B3A56"/>
    <w:rsid w:val="006060CE"/>
    <w:rsid w:val="0063497F"/>
    <w:rsid w:val="00723FB9"/>
    <w:rsid w:val="0076479C"/>
    <w:rsid w:val="0078738A"/>
    <w:rsid w:val="00873DF0"/>
    <w:rsid w:val="008756E6"/>
    <w:rsid w:val="009367A3"/>
    <w:rsid w:val="009A31FD"/>
    <w:rsid w:val="009B2D44"/>
    <w:rsid w:val="00A07E82"/>
    <w:rsid w:val="00A406B3"/>
    <w:rsid w:val="00A9710C"/>
    <w:rsid w:val="00AE3E37"/>
    <w:rsid w:val="00B0621B"/>
    <w:rsid w:val="00B21A57"/>
    <w:rsid w:val="00B55EFE"/>
    <w:rsid w:val="00BC29AC"/>
    <w:rsid w:val="00BD1F8E"/>
    <w:rsid w:val="00C1101B"/>
    <w:rsid w:val="00C20F7B"/>
    <w:rsid w:val="00C33602"/>
    <w:rsid w:val="00CC71DC"/>
    <w:rsid w:val="00CD6F55"/>
    <w:rsid w:val="00D61B3D"/>
    <w:rsid w:val="00D62425"/>
    <w:rsid w:val="00D81B94"/>
    <w:rsid w:val="00DE3104"/>
    <w:rsid w:val="00E670AB"/>
    <w:rsid w:val="00F72EEA"/>
    <w:rsid w:val="00F8136A"/>
    <w:rsid w:val="00F84CAE"/>
    <w:rsid w:val="00FD59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829765-7D16-4E40-89EE-888D1A56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16/j.vaccine.2021.06.06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208/s12249-022-02300-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nayi88ic@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5920/bjpharm.68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2</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Microsoft account</cp:lastModifiedBy>
  <cp:revision>14</cp:revision>
  <cp:lastPrinted>2023-01-09T15:13:00Z</cp:lastPrinted>
  <dcterms:created xsi:type="dcterms:W3CDTF">2016-08-31T13:10:00Z</dcterms:created>
  <dcterms:modified xsi:type="dcterms:W3CDTF">2023-01-10T11:19:00Z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