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BB2A8" w14:textId="206CEBE4" w:rsidR="000818AB" w:rsidRDefault="000818AB" w:rsidP="003075C4">
      <w:pPr>
        <w:pStyle w:val="BodyText"/>
        <w:spacing w:before="73" w:line="198" w:lineRule="exact"/>
        <w:rPr>
          <w:rFonts w:ascii="Minion Pro" w:eastAsia="Minion Pro" w:hAnsi="Minion Pro" w:cs="Minion Pro"/>
          <w:b/>
          <w:bCs/>
          <w:color w:val="337AB7"/>
          <w:sz w:val="36"/>
          <w:szCs w:val="36"/>
        </w:rPr>
      </w:pPr>
      <w:r w:rsidRPr="000818AB">
        <w:rPr>
          <w:rFonts w:ascii="Minion Pro" w:eastAsia="Minion Pro" w:hAnsi="Minion Pro" w:cs="Minion Pro"/>
          <w:b/>
          <w:bCs/>
          <w:color w:val="337AB7"/>
          <w:sz w:val="36"/>
          <w:szCs w:val="36"/>
        </w:rPr>
        <w:t>EFFICACY ASSESSMENT</w:t>
      </w:r>
    </w:p>
    <w:p w14:paraId="23027125" w14:textId="4BD12B02" w:rsidR="000818AB" w:rsidRDefault="000818AB" w:rsidP="003075C4">
      <w:pPr>
        <w:pStyle w:val="BodyText"/>
        <w:spacing w:before="73" w:line="198" w:lineRule="exact"/>
        <w:rPr>
          <w:rFonts w:ascii="Minion Pro" w:eastAsia="Minion Pro" w:hAnsi="Minion Pro" w:cs="Minion Pro"/>
          <w:b/>
          <w:bCs/>
          <w:color w:val="337AB7"/>
          <w:sz w:val="36"/>
          <w:szCs w:val="36"/>
        </w:rPr>
      </w:pPr>
      <w:r w:rsidRPr="000818AB">
        <w:rPr>
          <w:rFonts w:ascii="Minion Pro" w:eastAsia="Minion Pro" w:hAnsi="Minion Pro" w:cs="Minion Pro"/>
          <w:b/>
          <w:bCs/>
          <w:color w:val="337AB7"/>
          <w:sz w:val="36"/>
          <w:szCs w:val="36"/>
        </w:rPr>
        <w:t>OF</w:t>
      </w:r>
      <w:r>
        <w:rPr>
          <w:rFonts w:ascii="Minion Pro" w:eastAsia="Minion Pro" w:hAnsi="Minion Pro" w:cs="Minion Pro"/>
          <w:b/>
          <w:bCs/>
          <w:color w:val="337AB7"/>
          <w:sz w:val="36"/>
          <w:szCs w:val="36"/>
        </w:rPr>
        <w:t xml:space="preserve"> </w:t>
      </w:r>
      <w:r w:rsidRPr="000818AB">
        <w:rPr>
          <w:rFonts w:ascii="Minion Pro" w:eastAsia="Minion Pro" w:hAnsi="Minion Pro" w:cs="Minion Pro"/>
          <w:b/>
          <w:bCs/>
          <w:color w:val="337AB7"/>
          <w:sz w:val="36"/>
          <w:szCs w:val="36"/>
        </w:rPr>
        <w:t>THE AGAVAC VACCINE</w:t>
      </w:r>
    </w:p>
    <w:p w14:paraId="7ADAE2E1" w14:textId="5E96443F" w:rsidR="000818AB" w:rsidRDefault="000818AB" w:rsidP="003075C4">
      <w:pPr>
        <w:pStyle w:val="BodyText"/>
        <w:spacing w:before="73" w:line="198" w:lineRule="exact"/>
        <w:rPr>
          <w:rFonts w:ascii="Minion Pro" w:eastAsia="Minion Pro" w:hAnsi="Minion Pro" w:cs="Minion Pro"/>
          <w:b/>
          <w:bCs/>
          <w:color w:val="337AB7"/>
          <w:sz w:val="36"/>
          <w:szCs w:val="36"/>
        </w:rPr>
      </w:pPr>
      <w:r w:rsidRPr="000818AB">
        <w:rPr>
          <w:rFonts w:ascii="Minion Pro" w:eastAsia="Minion Pro" w:hAnsi="Minion Pro" w:cs="Minion Pro"/>
          <w:b/>
          <w:bCs/>
          <w:color w:val="337AB7"/>
          <w:sz w:val="36"/>
          <w:szCs w:val="36"/>
        </w:rPr>
        <w:t>DESTINED FOR CONTAGIOUS</w:t>
      </w:r>
    </w:p>
    <w:p w14:paraId="4A9E23F5" w14:textId="7E5E0FFC" w:rsidR="000818AB" w:rsidRDefault="000818AB" w:rsidP="003075C4">
      <w:pPr>
        <w:pStyle w:val="BodyText"/>
        <w:spacing w:before="73" w:line="198" w:lineRule="exact"/>
        <w:rPr>
          <w:rFonts w:ascii="Minion Pro" w:eastAsia="Minion Pro" w:hAnsi="Minion Pro" w:cs="Minion Pro"/>
          <w:b/>
          <w:bCs/>
          <w:color w:val="337AB7"/>
          <w:sz w:val="36"/>
          <w:szCs w:val="36"/>
        </w:rPr>
      </w:pPr>
      <w:r w:rsidRPr="000818AB">
        <w:rPr>
          <w:rFonts w:ascii="Minion Pro" w:eastAsia="Minion Pro" w:hAnsi="Minion Pro" w:cs="Minion Pro"/>
          <w:b/>
          <w:bCs/>
          <w:color w:val="337AB7"/>
          <w:sz w:val="36"/>
          <w:szCs w:val="36"/>
        </w:rPr>
        <w:t>AGALACTIA PROPHYLAXIS</w:t>
      </w:r>
    </w:p>
    <w:p w14:paraId="5F28B91E" w14:textId="0DA25C07" w:rsidR="000818AB" w:rsidRDefault="000818AB" w:rsidP="003075C4">
      <w:pPr>
        <w:pStyle w:val="BodyText"/>
        <w:spacing w:before="73" w:line="198" w:lineRule="exact"/>
        <w:rPr>
          <w:rFonts w:ascii="Minion Pro" w:eastAsia="Minion Pro" w:hAnsi="Minion Pro" w:cs="Minion Pro"/>
          <w:b/>
          <w:bCs/>
          <w:color w:val="337AB7"/>
          <w:sz w:val="36"/>
          <w:szCs w:val="36"/>
        </w:rPr>
      </w:pPr>
      <w:r w:rsidRPr="000818AB">
        <w:rPr>
          <w:rFonts w:ascii="Minion Pro" w:eastAsia="Minion Pro" w:hAnsi="Minion Pro" w:cs="Minion Pro"/>
          <w:b/>
          <w:bCs/>
          <w:color w:val="337AB7"/>
          <w:sz w:val="36"/>
          <w:szCs w:val="36"/>
        </w:rPr>
        <w:t>IN SMALL RUMINANTS, ON</w:t>
      </w:r>
    </w:p>
    <w:p w14:paraId="0DEDE2B2" w14:textId="326BC771" w:rsidR="000818AB" w:rsidRDefault="000818AB" w:rsidP="003075C4">
      <w:pPr>
        <w:pStyle w:val="BodyText"/>
        <w:spacing w:before="73" w:line="198" w:lineRule="exact"/>
        <w:rPr>
          <w:rFonts w:ascii="Minion Pro" w:eastAsia="Minion Pro" w:hAnsi="Minion Pro" w:cs="Minion Pro"/>
          <w:b/>
          <w:bCs/>
          <w:color w:val="337AB7"/>
          <w:sz w:val="36"/>
          <w:szCs w:val="36"/>
        </w:rPr>
      </w:pPr>
      <w:r w:rsidRPr="000818AB">
        <w:rPr>
          <w:rFonts w:ascii="Minion Pro" w:eastAsia="Minion Pro" w:hAnsi="Minion Pro" w:cs="Minion Pro"/>
          <w:b/>
          <w:bCs/>
          <w:color w:val="337AB7"/>
          <w:sz w:val="36"/>
          <w:szCs w:val="36"/>
        </w:rPr>
        <w:t>GUINEA PIG</w:t>
      </w:r>
    </w:p>
    <w:p w14:paraId="7FEDEF3A" w14:textId="1B021353" w:rsidR="00DB1CB9" w:rsidRPr="00DB1CB9" w:rsidRDefault="00DB1CB9" w:rsidP="00DB1CB9">
      <w:pPr>
        <w:pStyle w:val="BodyText"/>
        <w:rPr>
          <w:rFonts w:ascii="Arial"/>
          <w:sz w:val="20"/>
        </w:rPr>
      </w:pPr>
      <w:r w:rsidRPr="00DB1CB9">
        <w:rPr>
          <w:rFonts w:ascii="Arial"/>
          <w:b/>
          <w:bCs/>
          <w:sz w:val="20"/>
        </w:rPr>
        <w:t>POPA V., CULCESCU M., BOTU</w:t>
      </w:r>
      <w:r w:rsidRPr="00DB1CB9">
        <w:rPr>
          <w:rFonts w:ascii="Calibri" w:hAnsi="Calibri" w:cs="Calibri"/>
          <w:b/>
          <w:bCs/>
          <w:sz w:val="20"/>
        </w:rPr>
        <w:t>Ș</w:t>
      </w:r>
      <w:r w:rsidRPr="00DB1CB9">
        <w:rPr>
          <w:rFonts w:ascii="Arial"/>
          <w:b/>
          <w:bCs/>
          <w:sz w:val="20"/>
        </w:rPr>
        <w:t xml:space="preserve"> D., </w:t>
      </w:r>
    </w:p>
    <w:p w14:paraId="5C3BAEBF" w14:textId="6643997E" w:rsidR="00AE3E37" w:rsidRDefault="00DB1CB9" w:rsidP="00DB1CB9">
      <w:pPr>
        <w:pStyle w:val="BodyText"/>
        <w:rPr>
          <w:rFonts w:ascii="Arial"/>
          <w:sz w:val="20"/>
        </w:rPr>
      </w:pPr>
      <w:r w:rsidRPr="00DB1CB9">
        <w:rPr>
          <w:rFonts w:ascii="Arial"/>
          <w:b/>
          <w:bCs/>
          <w:sz w:val="20"/>
        </w:rPr>
        <w:t>FLOAREA A., POPA M., DINU H., DANE</w:t>
      </w:r>
      <w:r w:rsidRPr="00DB1CB9">
        <w:rPr>
          <w:rFonts w:ascii="Calibri" w:hAnsi="Calibri" w:cs="Calibri"/>
          <w:b/>
          <w:bCs/>
          <w:sz w:val="20"/>
        </w:rPr>
        <w:t>Ș</w:t>
      </w:r>
      <w:r w:rsidRPr="00DB1CB9">
        <w:rPr>
          <w:rFonts w:ascii="Arial"/>
          <w:b/>
          <w:bCs/>
          <w:sz w:val="20"/>
        </w:rPr>
        <w:t xml:space="preserve"> M.</w:t>
      </w:r>
    </w:p>
    <w:p w14:paraId="78ABB19F" w14:textId="77777777" w:rsidR="00AE3E37" w:rsidRDefault="00AE3E37">
      <w:pPr>
        <w:pStyle w:val="BodyText"/>
        <w:spacing w:before="3"/>
        <w:rPr>
          <w:rFonts w:ascii="Arial"/>
          <w:sz w:val="21"/>
        </w:rPr>
      </w:pPr>
    </w:p>
    <w:p w14:paraId="6DCA119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C123010" w14:textId="2D0C576E" w:rsidR="00AE3E37" w:rsidRDefault="00A9710C">
      <w:pPr>
        <w:pStyle w:val="Heading3"/>
        <w:spacing w:before="147"/>
        <w:jc w:val="both"/>
      </w:pPr>
      <w:r>
        <w:rPr>
          <w:color w:val="BF5A14"/>
        </w:rPr>
        <w:t>Abstract</w:t>
      </w:r>
      <w:r w:rsidR="00404E5B">
        <w:rPr>
          <w:color w:val="BF5A14"/>
        </w:rPr>
        <w:t xml:space="preserve"> </w:t>
      </w:r>
    </w:p>
    <w:p w14:paraId="5CE95295" w14:textId="4D82E3B0" w:rsidR="00AE3E37" w:rsidRDefault="00E2759F">
      <w:pPr>
        <w:pStyle w:val="Heading3"/>
        <w:spacing w:before="74"/>
      </w:pPr>
      <w:r w:rsidRPr="00E2759F">
        <w:rPr>
          <w:rFonts w:ascii="Tw Cen MT" w:eastAsia="Tw Cen MT" w:hAnsi="Tw Cen MT" w:cs="Tw Cen MT"/>
          <w:b w:val="0"/>
          <w:bCs w:val="0"/>
          <w:sz w:val="18"/>
          <w:szCs w:val="18"/>
        </w:rPr>
        <w:t>Contagious Agalactia (CA), an infectious disease of small ruminants is caused by several species of Mycoplasma, among which Mycoplasma agalactiae is constantly isolated. Disease prophylaxis focuses on the use of vaccines, in European Union only those inactivated being accepted. Agavac is an inactivated vaccine, manufactured by the Pasteur Institute for several decades, based on the Mycoplasma agalactiae AG6 strain (Mag AG6</w:t>
      </w:r>
      <w:r>
        <w:rPr>
          <w:rFonts w:ascii="Tw Cen MT" w:eastAsia="Tw Cen MT" w:hAnsi="Tw Cen MT" w:cs="Tw Cen MT"/>
          <w:b w:val="0"/>
          <w:bCs w:val="0"/>
          <w:sz w:val="18"/>
          <w:szCs w:val="18"/>
        </w:rPr>
        <w:t>)</w:t>
      </w:r>
      <w:r w:rsidRPr="00E2759F">
        <w:rPr>
          <w:rFonts w:ascii="Tw Cen MT" w:eastAsia="Tw Cen MT" w:hAnsi="Tw Cen MT" w:cs="Tw Cen MT"/>
          <w:b w:val="0"/>
          <w:bCs w:val="0"/>
          <w:sz w:val="18"/>
          <w:szCs w:val="18"/>
        </w:rPr>
        <w:t xml:space="preserve">. Different models of experimental infections in the target species have been published, with inoculation of the M. agalactiae vaccine / homologue strain by nasal, oral, ocular or intramammary route. In the aim of establishing an alternative model for efficacy assessment of the Agavac vaccine destined for the prophylaxis of CA in small ruminants, the vaccine immunogenicity and the colonization ability of Mag AG6 strain were tested on guinea pigs. Guinea pigs were immunized with Agavac commercial series, by s.c. administration of two doses of 0.5 ml, at 21 days interval. At 4.5 months after the booster, the Mag AG6 strain, was administered in concentration of 0.8 mg/ml protein in the control animals (0.2 ml, by ocular instillation) or of 4.5 mg/ml protein in vaccinated animals (0.2 ml, by ocular or nasal instillation, or </w:t>
      </w:r>
      <w:r>
        <w:rPr>
          <w:rFonts w:ascii="Tw Cen MT" w:eastAsia="Tw Cen MT" w:hAnsi="Tw Cen MT" w:cs="Tw Cen MT"/>
          <w:b w:val="0"/>
          <w:bCs w:val="0"/>
          <w:sz w:val="18"/>
          <w:szCs w:val="18"/>
        </w:rPr>
        <w:t>1</w:t>
      </w:r>
      <w:r w:rsidRPr="00E2759F">
        <w:rPr>
          <w:rFonts w:ascii="Tw Cen MT" w:eastAsia="Tw Cen MT" w:hAnsi="Tw Cen MT" w:cs="Tw Cen MT"/>
          <w:b w:val="0"/>
          <w:bCs w:val="0"/>
          <w:sz w:val="18"/>
          <w:szCs w:val="18"/>
        </w:rPr>
        <w:t>ml, intramammary). Antibodies titers were evaluated by an in house made ELISA kit, and the presence of the Mag AG6 strain in the organism of the guinea pigs was detected by a rPCR test, based on the p40 gene, applied to samples/fingerprints of organ, milk and ocular and nasal secretions. The antibody titers expressed as EU showed statistically significant differences (p &lt;0.05) between vaccinated and unvaccinated groups, at all the tested moments. The results suggested that the vaccine has given protection (was effective). Agavac vaccine has been shown to be effective (potent / immunogenic and protective) for laboratory animals. Our results proved that the assessment of the efficacy of the Agavac vaccine can also be carried out on laboratory animals (guinea pigs).</w:t>
      </w:r>
      <w:r w:rsidR="00A9710C">
        <w:rPr>
          <w:b w:val="0"/>
        </w:rPr>
        <w:br w:type="column"/>
      </w:r>
    </w:p>
    <w:p w14:paraId="7E120CDF" w14:textId="38027985" w:rsidR="00AE3E37" w:rsidRDefault="00AE3E37">
      <w:pPr>
        <w:pStyle w:val="BodyText"/>
        <w:spacing w:before="2"/>
        <w:rPr>
          <w:noProof/>
          <w:lang w:val="ro-RO" w:eastAsia="ro-RO"/>
        </w:rPr>
      </w:pPr>
    </w:p>
    <w:p w14:paraId="1A750197" w14:textId="0ED56EE7" w:rsidR="004F03C7" w:rsidRPr="004F03C7" w:rsidRDefault="004F03C7">
      <w:pPr>
        <w:pStyle w:val="BodyText"/>
        <w:spacing w:before="2"/>
        <w:rPr>
          <w:noProof/>
          <w:lang w:val="ro-RO" w:eastAsia="ro-RO"/>
        </w:rPr>
      </w:pPr>
      <w:r>
        <w:rPr>
          <w:noProof/>
          <w:lang w:val="ro-RO" w:eastAsia="ro-RO"/>
        </w:rPr>
        <w:drawing>
          <wp:inline distT="0" distB="0" distL="0" distR="0" wp14:anchorId="37B69C3D" wp14:editId="1565FF5B">
            <wp:extent cx="3597418" cy="160782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41543" cy="1627541"/>
                    </a:xfrm>
                    <a:prstGeom prst="rect">
                      <a:avLst/>
                    </a:prstGeom>
                  </pic:spPr>
                </pic:pic>
              </a:graphicData>
            </a:graphic>
          </wp:inline>
        </w:drawing>
      </w:r>
    </w:p>
    <w:p w14:paraId="253B93F7" w14:textId="16076C37" w:rsidR="004F03C7" w:rsidRDefault="004F03C7" w:rsidP="005973B9">
      <w:pPr>
        <w:pStyle w:val="ListParagraph"/>
        <w:numPr>
          <w:ilvl w:val="0"/>
          <w:numId w:val="3"/>
        </w:numPr>
        <w:tabs>
          <w:tab w:val="left" w:pos="384"/>
        </w:tabs>
        <w:spacing w:line="216" w:lineRule="exact"/>
        <w:ind w:right="137" w:hanging="283"/>
        <w:rPr>
          <w:sz w:val="18"/>
        </w:rPr>
      </w:pPr>
      <w:r w:rsidRPr="004F03C7">
        <w:rPr>
          <w:sz w:val="18"/>
        </w:rPr>
        <w:t>Botuș Daniela, Ene, G., Culcescu, M., Popa, Virgilia, Daneș, M.,</w:t>
      </w:r>
      <w:r w:rsidR="00A93FC0">
        <w:rPr>
          <w:sz w:val="18"/>
        </w:rPr>
        <w:t xml:space="preserve"> (2017)</w:t>
      </w:r>
      <w:r w:rsidRPr="004F03C7">
        <w:rPr>
          <w:sz w:val="18"/>
        </w:rPr>
        <w:t xml:space="preserve"> Evaluation of immune response in sheep after vaccination against contagious agalactia, Lucrari stiintifice Medicina veterinara Timisoara</w:t>
      </w:r>
      <w:r w:rsidR="00A93FC0">
        <w:rPr>
          <w:sz w:val="18"/>
        </w:rPr>
        <w:t xml:space="preserve"> </w:t>
      </w:r>
      <w:r w:rsidR="00A93FC0" w:rsidRPr="00A93FC0">
        <w:rPr>
          <w:sz w:val="18"/>
        </w:rPr>
        <w:t>L1, 30-38.</w:t>
      </w:r>
    </w:p>
    <w:p w14:paraId="67605B10" w14:textId="1B04ECDA" w:rsidR="00A93FC0" w:rsidRDefault="00A93FC0" w:rsidP="005973B9">
      <w:pPr>
        <w:pStyle w:val="ListParagraph"/>
        <w:numPr>
          <w:ilvl w:val="0"/>
          <w:numId w:val="3"/>
        </w:numPr>
        <w:tabs>
          <w:tab w:val="left" w:pos="384"/>
        </w:tabs>
        <w:spacing w:line="216" w:lineRule="exact"/>
        <w:ind w:right="138" w:hanging="283"/>
        <w:rPr>
          <w:sz w:val="18"/>
        </w:rPr>
      </w:pPr>
      <w:r w:rsidRPr="00A93FC0">
        <w:rPr>
          <w:sz w:val="18"/>
        </w:rPr>
        <w:t>Buonavoglia, D., Greco, Grazia, Corrente, Marialaura, Greco, Maria Fiorella, D’Abramo, Maria, Latronico, Francesca, Fasanella, A., Decaro, N.,</w:t>
      </w:r>
      <w:r>
        <w:rPr>
          <w:sz w:val="18"/>
        </w:rPr>
        <w:t xml:space="preserve"> (2008)</w:t>
      </w:r>
      <w:r w:rsidRPr="00A93FC0">
        <w:rPr>
          <w:sz w:val="18"/>
        </w:rPr>
        <w:t xml:space="preserve"> An oil-emulsion vaccine induces full-protection against Mycoplasma agalactiae infection in sheep, New microbiologica, 31, 117-123.</w:t>
      </w:r>
    </w:p>
    <w:p w14:paraId="2A55AA02" w14:textId="49F5C3E4" w:rsidR="005973B9" w:rsidRDefault="00A93FC0" w:rsidP="005973B9">
      <w:pPr>
        <w:pStyle w:val="ListParagraph"/>
        <w:numPr>
          <w:ilvl w:val="0"/>
          <w:numId w:val="3"/>
        </w:numPr>
        <w:tabs>
          <w:tab w:val="left" w:pos="384"/>
        </w:tabs>
        <w:spacing w:line="216" w:lineRule="exact"/>
        <w:ind w:right="138" w:hanging="283"/>
        <w:rPr>
          <w:sz w:val="18"/>
        </w:rPr>
      </w:pPr>
      <w:r w:rsidRPr="00A93FC0">
        <w:rPr>
          <w:sz w:val="18"/>
        </w:rPr>
        <w:t>Campos, A.C., Azevedo, E.O., Alcântara, M.D.B., Silva, R.B.S., Cordeiro, A.A., Mamede, A.G., Melo, M.A., Rosendo Nascimento, E., Castro, R.S.,</w:t>
      </w:r>
      <w:r>
        <w:rPr>
          <w:sz w:val="18"/>
        </w:rPr>
        <w:t xml:space="preserve"> (2013)</w:t>
      </w:r>
      <w:r w:rsidR="00B5646A">
        <w:rPr>
          <w:sz w:val="18"/>
        </w:rPr>
        <w:t xml:space="preserve"> </w:t>
      </w:r>
      <w:r w:rsidRPr="00A93FC0">
        <w:rPr>
          <w:sz w:val="18"/>
        </w:rPr>
        <w:t>Efficiency of inactive vaccines against contagious agalactia in Brazil, Arq. Bras. Med. Vet. Zootec., 65, 5, 1394-1402.</w:t>
      </w:r>
    </w:p>
    <w:p w14:paraId="64FDB69D" w14:textId="5D2B2218" w:rsidR="00A93FC0" w:rsidRPr="00A93FC0" w:rsidRDefault="00A93FC0" w:rsidP="00A93FC0">
      <w:pPr>
        <w:pStyle w:val="ListParagraph"/>
        <w:numPr>
          <w:ilvl w:val="0"/>
          <w:numId w:val="3"/>
        </w:numPr>
        <w:tabs>
          <w:tab w:val="left" w:pos="384"/>
        </w:tabs>
        <w:spacing w:line="216" w:lineRule="exact"/>
        <w:ind w:right="138" w:hanging="283"/>
        <w:rPr>
          <w:sz w:val="18"/>
        </w:rPr>
      </w:pPr>
      <w:r w:rsidRPr="00A93FC0">
        <w:rPr>
          <w:sz w:val="18"/>
        </w:rPr>
        <w:t>Chopra-Dewasthaly, Rohini, Spergser, J., Zimmermann, Martina, Citti, Christine, Jechlinger, W., Rosengarten, Renate,</w:t>
      </w:r>
      <w:r>
        <w:rPr>
          <w:sz w:val="18"/>
        </w:rPr>
        <w:t xml:space="preserve"> (2017)</w:t>
      </w:r>
      <w:r w:rsidRPr="00A93FC0">
        <w:rPr>
          <w:sz w:val="18"/>
        </w:rPr>
        <w:t xml:space="preserve"> Vpma phase variation is important for survival and persistence of Mycoplasma agalactiae in the immunocompetent host, PLoS Pathog, 13, 9.</w:t>
      </w:r>
    </w:p>
    <w:p w14:paraId="75B12F17" w14:textId="1469D24D" w:rsidR="005973B9" w:rsidRDefault="00A93FC0" w:rsidP="00E52FA0">
      <w:pPr>
        <w:pStyle w:val="BodyText"/>
        <w:numPr>
          <w:ilvl w:val="0"/>
          <w:numId w:val="3"/>
        </w:numPr>
        <w:spacing w:before="85" w:line="216" w:lineRule="exact"/>
        <w:ind w:right="138"/>
        <w:jc w:val="both"/>
        <w:rPr>
          <w:rFonts w:ascii="Calibri" w:hAnsi="Calibri"/>
        </w:rPr>
      </w:pPr>
      <w:r w:rsidRPr="00A93FC0">
        <w:rPr>
          <w:rFonts w:ascii="Calibri" w:hAnsi="Calibri"/>
        </w:rPr>
        <w:t>Hedge, S., Zimmermann, Martina, Flöck, Martina, Brunthaler, R., Spergser, J., Rosengarten, Renate, Chopra</w:t>
      </w:r>
      <w:r w:rsidRPr="00A93FC0">
        <w:rPr>
          <w:rFonts w:ascii="Cambria Math" w:hAnsi="Cambria Math" w:cs="Cambria Math"/>
        </w:rPr>
        <w:t>‑</w:t>
      </w:r>
      <w:r w:rsidRPr="00A93FC0">
        <w:rPr>
          <w:rFonts w:ascii="Calibri" w:hAnsi="Calibri"/>
        </w:rPr>
        <w:t>Dewasthaly, Rohini</w:t>
      </w:r>
      <w:r w:rsidR="0013555D">
        <w:rPr>
          <w:rFonts w:ascii="Calibri" w:hAnsi="Calibri"/>
        </w:rPr>
        <w:t xml:space="preserve"> (2016) </w:t>
      </w:r>
      <w:r w:rsidRPr="00A93FC0">
        <w:rPr>
          <w:rFonts w:ascii="Calibri" w:hAnsi="Calibri"/>
        </w:rPr>
        <w:t>Genetic loci of Mycoplasma agalactiae involved in systemic spreading during experimental intramammary infection of sheep, Vet Res., 47, 106.</w:t>
      </w:r>
    </w:p>
    <w:p w14:paraId="0A73B816" w14:textId="3AB59131" w:rsidR="00E52FA0" w:rsidRDefault="00E52FA0" w:rsidP="00E52FA0">
      <w:pPr>
        <w:pStyle w:val="BodyText"/>
        <w:spacing w:before="85" w:line="216" w:lineRule="exact"/>
        <w:ind w:right="138"/>
        <w:jc w:val="both"/>
        <w:rPr>
          <w:rFonts w:ascii="Calibri" w:hAnsi="Calibri"/>
        </w:rPr>
      </w:pPr>
    </w:p>
    <w:p w14:paraId="628FC7A3" w14:textId="40EA92F4" w:rsidR="00E52FA0" w:rsidRDefault="00E52FA0" w:rsidP="00E52FA0">
      <w:pPr>
        <w:pStyle w:val="BodyText"/>
        <w:spacing w:before="85" w:line="216" w:lineRule="exact"/>
        <w:ind w:right="138"/>
        <w:jc w:val="both"/>
        <w:rPr>
          <w:rFonts w:ascii="Calibri" w:hAnsi="Calibri"/>
        </w:rPr>
      </w:pPr>
    </w:p>
    <w:p w14:paraId="02147336" w14:textId="6594868D" w:rsidR="00E52FA0" w:rsidRDefault="00E52FA0" w:rsidP="00E52FA0">
      <w:pPr>
        <w:pStyle w:val="BodyText"/>
        <w:spacing w:before="85" w:line="216" w:lineRule="exact"/>
        <w:ind w:right="138"/>
        <w:jc w:val="both"/>
        <w:rPr>
          <w:rFonts w:ascii="Calibri" w:hAnsi="Calibri"/>
        </w:rPr>
      </w:pPr>
    </w:p>
    <w:p w14:paraId="0DFAC850" w14:textId="77777777" w:rsidR="00E52FA0" w:rsidRDefault="00E52FA0" w:rsidP="00E52FA0">
      <w:pPr>
        <w:pStyle w:val="BodyText"/>
        <w:spacing w:before="85" w:line="216" w:lineRule="exact"/>
        <w:ind w:right="138"/>
        <w:jc w:val="both"/>
        <w:rPr>
          <w:rFonts w:ascii="Calibri" w:hAnsi="Calibri"/>
        </w:rPr>
      </w:pPr>
    </w:p>
    <w:p w14:paraId="29687959" w14:textId="77777777" w:rsidR="00AE3E37" w:rsidRPr="008756E6" w:rsidRDefault="00AE3E37" w:rsidP="008756E6">
      <w:pPr>
        <w:tabs>
          <w:tab w:val="left" w:pos="384"/>
        </w:tabs>
        <w:ind w:right="117"/>
      </w:pPr>
    </w:p>
    <w:p w14:paraId="280405B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CD57E57" w14:textId="77777777" w:rsidR="00AE3E37" w:rsidRDefault="00292ED9">
      <w:pPr>
        <w:pStyle w:val="BodyText"/>
        <w:spacing w:line="40" w:lineRule="exact"/>
        <w:ind w:left="2202"/>
        <w:rPr>
          <w:rFonts w:ascii="Calibri"/>
          <w:sz w:val="4"/>
        </w:rPr>
      </w:pPr>
      <w:r>
        <w:rPr>
          <w:rFonts w:ascii="Calibri"/>
          <w:noProof/>
          <w:sz w:val="4"/>
          <w:lang w:val="ro-RO" w:eastAsia="ro-RO"/>
        </w:rPr>
        <mc:AlternateContent>
          <mc:Choice Requires="wpg">
            <w:drawing>
              <wp:inline distT="0" distB="0" distL="0" distR="0" wp14:anchorId="0F8185CA" wp14:editId="76F6510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CFC08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CA0EA09" w14:textId="455C95D2" w:rsidR="00AE3E37" w:rsidRDefault="008756E6" w:rsidP="00E52FA0">
      <w:pPr>
        <w:spacing w:before="92"/>
        <w:ind w:right="4234"/>
        <w:rPr>
          <w:rFonts w:ascii="Arial"/>
          <w:sz w:val="14"/>
        </w:rPr>
      </w:pPr>
      <w:r>
        <w:rPr>
          <w:noProof/>
        </w:rPr>
        <w:t xml:space="preserve">          </w:t>
      </w:r>
    </w:p>
    <w:p w14:paraId="643F28D2" w14:textId="77777777" w:rsidR="00AE3E37" w:rsidRDefault="00292ED9">
      <w:pPr>
        <w:pStyle w:val="BodyText"/>
        <w:spacing w:before="2"/>
        <w:rPr>
          <w:rFonts w:ascii="Arial"/>
          <w:sz w:val="19"/>
        </w:rPr>
      </w:pPr>
      <w:r>
        <w:rPr>
          <w:noProof/>
          <w:lang w:val="ro-RO" w:eastAsia="ro-RO"/>
        </w:rPr>
        <mc:AlternateContent>
          <mc:Choice Requires="wps">
            <w:drawing>
              <wp:anchor distT="0" distB="0" distL="0" distR="0" simplePos="0" relativeHeight="1072" behindDoc="0" locked="0" layoutInCell="1" allowOverlap="1" wp14:anchorId="7FA8601A" wp14:editId="797BB68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DD72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F66DEC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B6DCA" w14:textId="77777777" w:rsidR="008B28B8" w:rsidRDefault="008B28B8">
      <w:r>
        <w:separator/>
      </w:r>
    </w:p>
  </w:endnote>
  <w:endnote w:type="continuationSeparator" w:id="0">
    <w:p w14:paraId="320003B6" w14:textId="77777777" w:rsidR="008B28B8" w:rsidRDefault="008B2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A91E5" w14:textId="77777777" w:rsidR="00AE3E37" w:rsidRDefault="00292ED9">
    <w:pPr>
      <w:pStyle w:val="BodyText"/>
      <w:spacing w:line="14" w:lineRule="auto"/>
      <w:rPr>
        <w:sz w:val="20"/>
      </w:rPr>
    </w:pPr>
    <w:r>
      <w:rPr>
        <w:noProof/>
        <w:lang w:val="ro-RO" w:eastAsia="ro-RO"/>
      </w:rPr>
      <mc:AlternateContent>
        <mc:Choice Requires="wps">
          <w:drawing>
            <wp:anchor distT="0" distB="0" distL="114300" distR="114300" simplePos="0" relativeHeight="503311928" behindDoc="1" locked="0" layoutInCell="1" allowOverlap="1" wp14:anchorId="73377C9B" wp14:editId="32B4364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6B9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2D7E8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77C9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AF6B9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2D7E8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o-RO" w:eastAsia="ro-RO"/>
      </w:rPr>
      <mc:AlternateContent>
        <mc:Choice Requires="wps">
          <w:drawing>
            <wp:anchor distT="0" distB="0" distL="114300" distR="114300" simplePos="0" relativeHeight="503311952" behindDoc="1" locked="0" layoutInCell="1" allowOverlap="1" wp14:anchorId="46921D7A" wp14:editId="6E819E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989A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6306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21D7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03989A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6306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o-RO" w:eastAsia="ro-RO"/>
      </w:rPr>
      <mc:AlternateContent>
        <mc:Choice Requires="wps">
          <w:drawing>
            <wp:anchor distT="0" distB="0" distL="114300" distR="114300" simplePos="0" relativeHeight="503311976" behindDoc="1" locked="0" layoutInCell="1" allowOverlap="1" wp14:anchorId="7D9ECBF0" wp14:editId="5002A60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F9DB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619EF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ECBF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34F9DB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619EF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C006E" w14:textId="77777777" w:rsidR="008B28B8" w:rsidRDefault="008B28B8">
      <w:r>
        <w:separator/>
      </w:r>
    </w:p>
  </w:footnote>
  <w:footnote w:type="continuationSeparator" w:id="0">
    <w:p w14:paraId="039842BE" w14:textId="77777777" w:rsidR="008B28B8" w:rsidRDefault="008B2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878C9" w14:textId="77777777" w:rsidR="00AE3E37" w:rsidRDefault="00292ED9">
    <w:pPr>
      <w:pStyle w:val="BodyText"/>
      <w:spacing w:line="14" w:lineRule="auto"/>
      <w:rPr>
        <w:sz w:val="20"/>
      </w:rPr>
    </w:pPr>
    <w:r>
      <w:rPr>
        <w:noProof/>
        <w:lang w:val="ro-RO" w:eastAsia="ro-RO"/>
      </w:rPr>
      <mc:AlternateContent>
        <mc:Choice Requires="wps">
          <w:drawing>
            <wp:anchor distT="0" distB="0" distL="114300" distR="114300" simplePos="0" relativeHeight="503311880" behindDoc="1" locked="0" layoutInCell="1" allowOverlap="1" wp14:anchorId="7E835C96" wp14:editId="1083DCF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9484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835C9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0A9484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o-RO" w:eastAsia="ro-RO"/>
      </w:rPr>
      <mc:AlternateContent>
        <mc:Choice Requires="wps">
          <w:drawing>
            <wp:anchor distT="0" distB="0" distL="114300" distR="114300" simplePos="0" relativeHeight="503311904" behindDoc="1" locked="0" layoutInCell="1" allowOverlap="1" wp14:anchorId="2DC05D3A" wp14:editId="47C532B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F093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C25C1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05D3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86F093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C25C1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818AB"/>
    <w:rsid w:val="000E2911"/>
    <w:rsid w:val="001263DF"/>
    <w:rsid w:val="0013555D"/>
    <w:rsid w:val="001E763C"/>
    <w:rsid w:val="00292ED9"/>
    <w:rsid w:val="003075C4"/>
    <w:rsid w:val="00314AFB"/>
    <w:rsid w:val="003B76D9"/>
    <w:rsid w:val="00404E5B"/>
    <w:rsid w:val="00414F7B"/>
    <w:rsid w:val="004355DC"/>
    <w:rsid w:val="004749B4"/>
    <w:rsid w:val="00494130"/>
    <w:rsid w:val="004F03C7"/>
    <w:rsid w:val="004F3523"/>
    <w:rsid w:val="00551EA6"/>
    <w:rsid w:val="005973B9"/>
    <w:rsid w:val="005B3A56"/>
    <w:rsid w:val="006060CE"/>
    <w:rsid w:val="0063497F"/>
    <w:rsid w:val="00714663"/>
    <w:rsid w:val="0078738A"/>
    <w:rsid w:val="00873DF0"/>
    <w:rsid w:val="008756E6"/>
    <w:rsid w:val="008B28B8"/>
    <w:rsid w:val="008E6A99"/>
    <w:rsid w:val="009B2D44"/>
    <w:rsid w:val="00A07E82"/>
    <w:rsid w:val="00A93FC0"/>
    <w:rsid w:val="00A9710C"/>
    <w:rsid w:val="00AE3E37"/>
    <w:rsid w:val="00B21A57"/>
    <w:rsid w:val="00B5646A"/>
    <w:rsid w:val="00C33602"/>
    <w:rsid w:val="00C74567"/>
    <w:rsid w:val="00CD6F55"/>
    <w:rsid w:val="00D62425"/>
    <w:rsid w:val="00DB1CB9"/>
    <w:rsid w:val="00DE3104"/>
    <w:rsid w:val="00E2759F"/>
    <w:rsid w:val="00E52FA0"/>
    <w:rsid w:val="00EF5F2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5A876"/>
  <w15:docId w15:val="{8A7F082E-D8E5-402B-A57F-F2F802562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443</TotalTime>
  <Pages>1</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Adina Asandei</cp:lastModifiedBy>
  <cp:revision>7</cp:revision>
  <dcterms:created xsi:type="dcterms:W3CDTF">2021-10-01T05:44:00Z</dcterms:created>
  <dcterms:modified xsi:type="dcterms:W3CDTF">2021-10-06T20:19:00Z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