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Text"/>
        <w:rPr>
          <w:rFonts w:ascii="Times New Roman" w:cs="Times New Roman" w:hAnsi="Times New Roman" w:eastAsia="Times New Roman"/>
          <w:sz w:val="28"/>
          <w:szCs w:val="28"/>
        </w:rPr>
      </w:pPr>
      <w:r>
        <w:rPr>
          <w:rFonts w:ascii="Times New Roman" w:hAnsi="Times New Roman"/>
          <w:sz w:val="28"/>
          <w:szCs w:val="28"/>
          <w:rtl w:val="0"/>
          <w:lang w:val="en-US"/>
        </w:rPr>
        <w:t>DIFFICULTIES OF BIOLOGICAL THERAPY IN THE PATIENT WITH ACTIVE RHEUMATOID ARTHRITIS AND SECONDARY RENAL AMYLOIDOSIS</w:t>
      </w:r>
    </w:p>
    <w:p>
      <w:pPr>
        <w:pStyle w:val="Body Text"/>
        <w:rPr>
          <w:rFonts w:ascii="Times New Roman" w:cs="Times New Roman" w:hAnsi="Times New Roman" w:eastAsia="Times New Roman"/>
          <w:sz w:val="28"/>
          <w:szCs w:val="28"/>
        </w:rPr>
      </w:pPr>
    </w:p>
    <w:p>
      <w:pPr>
        <w:pStyle w:val="По умолчанию"/>
        <w:spacing w:before="0"/>
        <w:rPr>
          <w:rFonts w:ascii="Times New Roman" w:cs="Times New Roman" w:hAnsi="Times New Roman" w:eastAsia="Times New Roman"/>
          <w:sz w:val="28"/>
          <w:szCs w:val="28"/>
        </w:rPr>
      </w:pPr>
      <w:r>
        <w:rPr>
          <w:rFonts w:ascii="Times New Roman" w:hAnsi="Times New Roman"/>
          <w:sz w:val="28"/>
          <w:szCs w:val="28"/>
          <w:rtl w:val="0"/>
          <w:lang w:val="en-US"/>
        </w:rPr>
        <w:t>Rita A. Osipyants, MD, PhD,  Peoples</w:t>
      </w:r>
      <w:r>
        <w:rPr>
          <w:rFonts w:ascii="Times New Roman" w:hAnsi="Times New Roman" w:hint="default"/>
          <w:sz w:val="28"/>
          <w:szCs w:val="28"/>
          <w:rtl w:val="1"/>
        </w:rPr>
        <w:t xml:space="preserve">’ </w:t>
      </w:r>
      <w:r>
        <w:rPr>
          <w:rFonts w:ascii="Times New Roman" w:hAnsi="Times New Roman"/>
          <w:sz w:val="28"/>
          <w:szCs w:val="28"/>
          <w:rtl w:val="0"/>
          <w:lang w:val="en-US"/>
        </w:rPr>
        <w:t xml:space="preserve">Friendship University of Russia (RUDN), Clinical Hospital named after A.K. Eramishantsev, Russian Federation </w:t>
      </w:r>
    </w:p>
    <w:p>
      <w:pPr>
        <w:pStyle w:val="По умолчанию"/>
        <w:spacing w:before="0"/>
        <w:rPr>
          <w:rFonts w:ascii="Times New Roman" w:cs="Times New Roman" w:hAnsi="Times New Roman" w:eastAsia="Times New Roman"/>
          <w:sz w:val="28"/>
          <w:szCs w:val="28"/>
        </w:rPr>
      </w:pPr>
      <w:r>
        <w:rPr>
          <w:rFonts w:ascii="Times New Roman" w:hAnsi="Times New Roman"/>
          <w:sz w:val="28"/>
          <w:szCs w:val="28"/>
          <w:rtl w:val="0"/>
          <w:lang w:val="en-US"/>
        </w:rPr>
        <w:t xml:space="preserve">Marina Z. Kanevskaya, MD, PhD, I.M. Sechenov First Moscow State Medical University of the Ministry of Health Care of Russian Federation (Sechenov University), Clinical Hospital named after A.K. Eramishantsev, Russian Federation </w:t>
      </w:r>
    </w:p>
    <w:p>
      <w:pPr>
        <w:pStyle w:val="По умолчанию"/>
        <w:spacing w:before="0"/>
        <w:rPr>
          <w:rFonts w:ascii="Times New Roman" w:cs="Times New Roman" w:hAnsi="Times New Roman" w:eastAsia="Times New Roman"/>
          <w:sz w:val="28"/>
          <w:szCs w:val="28"/>
        </w:rPr>
      </w:pPr>
      <w:r>
        <w:rPr>
          <w:rFonts w:ascii="Times New Roman" w:hAnsi="Times New Roman"/>
          <w:sz w:val="28"/>
          <w:szCs w:val="28"/>
          <w:rtl w:val="0"/>
        </w:rPr>
        <w:t>Natalia L. Kozlovskaya, MD, PhD, Peoples</w:t>
      </w:r>
      <w:r>
        <w:rPr>
          <w:rFonts w:ascii="Times New Roman" w:hAnsi="Times New Roman" w:hint="default"/>
          <w:sz w:val="28"/>
          <w:szCs w:val="28"/>
          <w:rtl w:val="1"/>
        </w:rPr>
        <w:t xml:space="preserve">’ </w:t>
      </w:r>
      <w:r>
        <w:rPr>
          <w:rFonts w:ascii="Times New Roman" w:hAnsi="Times New Roman"/>
          <w:sz w:val="28"/>
          <w:szCs w:val="28"/>
          <w:rtl w:val="0"/>
          <w:lang w:val="en-US"/>
        </w:rPr>
        <w:t>Friendship University of Russia (RUDN), Clinical Hospital named after A.K. Eramishantsev, Russian Federaton</w:t>
      </w:r>
    </w:p>
    <w:p>
      <w:pPr>
        <w:pStyle w:val="По умолчанию"/>
        <w:spacing w:before="0"/>
        <w:rPr>
          <w:rFonts w:ascii="Times New Roman" w:cs="Times New Roman" w:hAnsi="Times New Roman" w:eastAsia="Times New Roman"/>
          <w:sz w:val="28"/>
          <w:szCs w:val="28"/>
        </w:rPr>
      </w:pPr>
      <w:r>
        <w:rPr>
          <w:rFonts w:ascii="Times New Roman" w:hAnsi="Times New Roman"/>
          <w:sz w:val="28"/>
          <w:szCs w:val="28"/>
          <w:rtl w:val="0"/>
          <w:lang w:val="en-US"/>
        </w:rPr>
        <w:t>Elena A. Troitskaya, MD, PhD,  Peoples</w:t>
      </w:r>
      <w:r>
        <w:rPr>
          <w:rFonts w:ascii="Times New Roman" w:hAnsi="Times New Roman" w:hint="default"/>
          <w:sz w:val="28"/>
          <w:szCs w:val="28"/>
          <w:rtl w:val="1"/>
        </w:rPr>
        <w:t xml:space="preserve">’ </w:t>
      </w:r>
      <w:r>
        <w:rPr>
          <w:rFonts w:ascii="Times New Roman" w:hAnsi="Times New Roman"/>
          <w:sz w:val="28"/>
          <w:szCs w:val="28"/>
          <w:rtl w:val="0"/>
          <w:lang w:val="en-US"/>
        </w:rPr>
        <w:t xml:space="preserve">Friendship University of Russia (RUDN), Clinical Hospital named after A.K. Eramishantsev, Russian Federation </w:t>
      </w:r>
    </w:p>
    <w:p>
      <w:pPr>
        <w:pStyle w:val="По умолчанию"/>
        <w:spacing w:before="0"/>
        <w:rPr>
          <w:rFonts w:ascii="Times New Roman" w:cs="Times New Roman" w:hAnsi="Times New Roman" w:eastAsia="Times New Roman"/>
          <w:sz w:val="28"/>
          <w:szCs w:val="28"/>
        </w:rPr>
      </w:pPr>
      <w:r>
        <w:rPr>
          <w:rFonts w:ascii="Times New Roman" w:hAnsi="Times New Roman"/>
          <w:sz w:val="28"/>
          <w:szCs w:val="28"/>
          <w:rtl w:val="0"/>
        </w:rPr>
        <w:t>Kseniya A. Demyanova, MD, PhD,  Peoples</w:t>
      </w:r>
      <w:r>
        <w:rPr>
          <w:rFonts w:ascii="Times New Roman" w:hAnsi="Times New Roman" w:hint="default"/>
          <w:sz w:val="28"/>
          <w:szCs w:val="28"/>
          <w:rtl w:val="1"/>
        </w:rPr>
        <w:t xml:space="preserve">’ </w:t>
      </w:r>
      <w:r>
        <w:rPr>
          <w:rFonts w:ascii="Times New Roman" w:hAnsi="Times New Roman"/>
          <w:sz w:val="28"/>
          <w:szCs w:val="28"/>
          <w:rtl w:val="0"/>
          <w:lang w:val="en-US"/>
        </w:rPr>
        <w:t xml:space="preserve">Friendship University of Russia (RUDN), Clinical Hospital named after A.K. Eramishantsev,  Russian Federation </w:t>
      </w:r>
    </w:p>
    <w:p>
      <w:pPr>
        <w:pStyle w:val="По умолчанию"/>
        <w:spacing w:before="0"/>
        <w:rPr>
          <w:rFonts w:ascii="Times New Roman" w:cs="Times New Roman" w:hAnsi="Times New Roman" w:eastAsia="Times New Roman"/>
          <w:sz w:val="28"/>
          <w:szCs w:val="28"/>
        </w:rPr>
      </w:pPr>
      <w:r>
        <w:rPr>
          <w:rFonts w:ascii="Times New Roman" w:hAnsi="Times New Roman"/>
          <w:sz w:val="28"/>
          <w:szCs w:val="28"/>
          <w:rtl w:val="0"/>
          <w:lang w:val="it-IT"/>
        </w:rPr>
        <w:t xml:space="preserve">Temuri Sh. Mirilashvili, MD, PhD, Clinical Hospital named after A.K. Eramishantsev, Russian Federation </w:t>
      </w:r>
    </w:p>
    <w:p>
      <w:pPr>
        <w:pStyle w:val="Body Text"/>
        <w:rPr>
          <w:rFonts w:ascii="Times New Roman" w:cs="Times New Roman" w:hAnsi="Times New Roman" w:eastAsia="Times New Roman"/>
          <w:sz w:val="28"/>
          <w:szCs w:val="28"/>
        </w:rPr>
      </w:pPr>
    </w:p>
    <w:p>
      <w:pPr>
        <w:pStyle w:val="Body Text"/>
        <w:rPr>
          <w:rFonts w:ascii="Times New Roman" w:cs="Times New Roman" w:hAnsi="Times New Roman" w:eastAsia="Times New Roman"/>
          <w:outline w:val="0"/>
          <w:color w:val="bf5a14"/>
          <w:sz w:val="28"/>
          <w:szCs w:val="28"/>
          <w:u w:color="bf5a14"/>
          <w14:textFill>
            <w14:solidFill>
              <w14:srgbClr w14:val="BF5A14"/>
            </w14:solidFill>
          </w14:textFill>
        </w:rPr>
      </w:pPr>
      <w:r>
        <w:rPr>
          <w:rFonts w:ascii="Times New Roman" w:hAnsi="Times New Roman"/>
          <w:sz w:val="28"/>
          <w:szCs w:val="28"/>
          <w:rtl w:val="0"/>
          <w:lang w:val="en-US"/>
        </w:rPr>
        <w:t>Abstract</w:t>
      </w:r>
    </w:p>
    <w:p>
      <w:pPr>
        <w:pStyle w:val="Body Text"/>
        <w:jc w:val="both"/>
        <w:rPr>
          <w:rFonts w:ascii="Times New Roman" w:cs="Times New Roman" w:hAnsi="Times New Roman" w:eastAsia="Times New Roman"/>
          <w:sz w:val="28"/>
          <w:szCs w:val="28"/>
        </w:rPr>
      </w:pPr>
      <w:r>
        <w:rPr>
          <w:rFonts w:ascii="Times New Roman" w:hAnsi="Times New Roman"/>
          <w:outline w:val="0"/>
          <w:color w:val="333333"/>
          <w:sz w:val="28"/>
          <w:szCs w:val="28"/>
          <w:u w:color="333333"/>
          <w:shd w:val="clear" w:color="auto" w:fill="ffffff"/>
          <w:rtl w:val="0"/>
          <w:lang w:val="en-US"/>
          <w14:textFill>
            <w14:solidFill>
              <w14:srgbClr w14:val="333333"/>
            </w14:solidFill>
          </w14:textFill>
        </w:rPr>
        <w:t xml:space="preserve">Statement of the Problem: In recent decades, biological and targeted therapy has closely entered the daily standard clinical practice of a rheumatologist and has became an integral part of the treatment of resistant inflammatory rheumatic diseases. Secondary renal amyloidosis is a serious life-threatening complication of rheumatoid arthritis (RA) caused by long-term active systemic inflammation. Early use of biologics can improve the prognosis of patients with rheumatic diseases. At the same time, biological therapy is associated with an increased risk of developing serious infections. </w:t>
      </w:r>
      <w:r>
        <w:rPr>
          <w:rFonts w:ascii="Times New Roman" w:hAnsi="Times New Roman"/>
          <w:sz w:val="28"/>
          <w:szCs w:val="28"/>
          <w:rtl w:val="0"/>
          <w:lang w:val="en-US"/>
        </w:rPr>
        <w:t>The aim of the work was to describe a clinical case of a patient with active RA resistant to standard basic therapy and complicated by amyloid nephropathy, in connection with targeted drugs prescribed - a Janus kinase inhibitor, tofacitinib (Jaquinus), and then the anti-IL 6 receptor tocilizumab (Actemra).</w:t>
      </w:r>
    </w:p>
    <w:p>
      <w:pPr>
        <w:pStyle w:val="Body Text"/>
        <w:rPr>
          <w:rFonts w:ascii="Times New Roman" w:cs="Times New Roman" w:hAnsi="Times New Roman" w:eastAsia="Times New Roman"/>
          <w:sz w:val="28"/>
          <w:szCs w:val="28"/>
        </w:rPr>
      </w:pPr>
      <w:r>
        <w:rPr>
          <w:rFonts w:ascii="Times New Roman" w:hAnsi="Times New Roman"/>
          <w:sz w:val="28"/>
          <w:szCs w:val="28"/>
          <w:rtl w:val="0"/>
          <w:lang w:val="en-US"/>
        </w:rPr>
        <w:t xml:space="preserve">Findings:  This clinical observation demonstrates several complications in the patient. Amyloid nephropathy was manifested by a nephrotic syndrome (NS). Biological therapy in combination with NS led to the development of infectious complications </w:t>
      </w:r>
      <w:r>
        <w:rPr>
          <w:rFonts w:ascii="Times New Roman" w:hAnsi="Times New Roman" w:hint="default"/>
          <w:sz w:val="28"/>
          <w:szCs w:val="28"/>
          <w:rtl w:val="0"/>
          <w:lang w:val="en-US"/>
        </w:rPr>
        <w:t xml:space="preserve">– </w:t>
      </w:r>
      <w:r>
        <w:rPr>
          <w:rFonts w:ascii="Times New Roman" w:hAnsi="Times New Roman"/>
          <w:sz w:val="28"/>
          <w:szCs w:val="28"/>
          <w:rtl w:val="0"/>
          <w:lang w:val="en-US"/>
        </w:rPr>
        <w:t>nosocomial pneumonia, and then septic arthritis of the knee joint. An additional contribution of NS to the development of infectious complications in RA patients receiving immunosuppressive therapy is supposed.</w:t>
      </w:r>
    </w:p>
    <w:p>
      <w:pPr>
        <w:pStyle w:val="Body Text"/>
        <w:rPr>
          <w:rFonts w:ascii="Times New Roman" w:cs="Times New Roman" w:hAnsi="Times New Roman" w:eastAsia="Times New Roman"/>
          <w:sz w:val="28"/>
          <w:szCs w:val="28"/>
        </w:rPr>
      </w:pPr>
      <w:r>
        <w:rPr>
          <w:rFonts w:ascii="Times New Roman" w:hAnsi="Times New Roman"/>
          <w:sz w:val="28"/>
          <w:szCs w:val="28"/>
          <w:rtl w:val="0"/>
          <w:lang w:val="en-US"/>
        </w:rPr>
        <w:t>Conclusion &amp; Significance: The current treatment options for resistant RA and the possibility of early use of biologics before the development of irreversible complications, as well as the difficulties of therapy and complications associated with immunosuppression are discussed. Preventive measures for immunization with anti-pneumococcal vaccine in patients with RA and NS are importan</w:t>
      </w:r>
      <w:r>
        <w:rPr>
          <w:rFonts w:ascii="Times New Roman" w:hAnsi="Times New Roman"/>
          <w:sz w:val="28"/>
          <w:szCs w:val="28"/>
          <w:rtl w:val="0"/>
          <w:lang w:val="en-US"/>
        </w:rPr>
        <w:t>t.</w:t>
      </w:r>
    </w:p>
    <w:p>
      <w:pPr>
        <w:pStyle w:val="Body Text"/>
        <w:rPr>
          <w:rFonts w:ascii="Times New Roman" w:cs="Times New Roman" w:hAnsi="Times New Roman" w:eastAsia="Times New Roman"/>
          <w:sz w:val="28"/>
          <w:szCs w:val="28"/>
        </w:rPr>
      </w:pPr>
    </w:p>
    <w:p>
      <w:pPr>
        <w:pStyle w:val="Основной текст"/>
        <w:rPr>
          <w:sz w:val="28"/>
          <w:szCs w:val="28"/>
        </w:rPr>
      </w:pPr>
      <w:r>
        <w:rPr>
          <w:sz w:val="28"/>
          <w:szCs w:val="28"/>
          <w:rtl w:val="0"/>
          <w:lang w:val="en-US"/>
        </w:rPr>
        <w:t>Recent Publications</w:t>
      </w:r>
    </w:p>
    <w:p>
      <w:pPr>
        <w:pStyle w:val="Основной текст"/>
        <w:numPr>
          <w:ilvl w:val="0"/>
          <w:numId w:val="2"/>
        </w:numPr>
        <w:rPr>
          <w:sz w:val="28"/>
          <w:szCs w:val="28"/>
          <w:lang w:val="en-US"/>
        </w:rPr>
      </w:pPr>
      <w:r>
        <w:rPr>
          <w:sz w:val="28"/>
          <w:szCs w:val="28"/>
          <w:rtl w:val="0"/>
          <w:lang w:val="en-US"/>
        </w:rPr>
        <w:t xml:space="preserve">J. Arnold, K. Winthrop and </w:t>
      </w:r>
      <w:r>
        <w:rPr>
          <w:sz w:val="28"/>
          <w:szCs w:val="28"/>
          <w:rtl w:val="0"/>
          <w:lang w:val="ru-RU"/>
        </w:rPr>
        <w:t xml:space="preserve"> </w:t>
      </w:r>
      <w:r>
        <w:rPr>
          <w:sz w:val="28"/>
          <w:szCs w:val="28"/>
          <w:rtl w:val="0"/>
          <w:lang w:val="en-US"/>
        </w:rPr>
        <w:t>P. Emery. COVID-19 vaccination and anti rheumatic therapy.Rheumatology 2021</w:t>
      </w:r>
      <w:r>
        <w:rPr>
          <w:sz w:val="28"/>
          <w:szCs w:val="28"/>
          <w:rtl w:val="0"/>
          <w:lang w:val="ru-RU"/>
        </w:rPr>
        <w:t>;60:3496-3502</w:t>
      </w:r>
    </w:p>
    <w:p>
      <w:pPr>
        <w:pStyle w:val="Основной текст"/>
        <w:numPr>
          <w:ilvl w:val="0"/>
          <w:numId w:val="2"/>
        </w:numPr>
        <w:rPr>
          <w:sz w:val="28"/>
          <w:szCs w:val="28"/>
          <w:lang w:val="ru-RU"/>
        </w:rPr>
      </w:pPr>
      <w:r>
        <w:rPr>
          <w:sz w:val="28"/>
          <w:szCs w:val="28"/>
          <w:rtl w:val="0"/>
          <w:lang w:val="ru-RU"/>
        </w:rPr>
        <w:t>С</w:t>
      </w:r>
      <w:r>
        <w:rPr>
          <w:sz w:val="28"/>
          <w:szCs w:val="28"/>
          <w:rtl w:val="0"/>
          <w:lang w:val="en-US"/>
        </w:rPr>
        <w:t>.Calabrese. Vaccination in patients with rheumatic disease.Med Clin N A 105 (2021)</w:t>
      </w:r>
      <w:r>
        <w:rPr>
          <w:sz w:val="28"/>
          <w:szCs w:val="28"/>
          <w:rtl w:val="0"/>
          <w:lang w:val="ru-RU"/>
        </w:rPr>
        <w:t>;213-225</w:t>
      </w:r>
    </w:p>
    <w:p>
      <w:pPr>
        <w:pStyle w:val="Основной текст"/>
        <w:numPr>
          <w:ilvl w:val="0"/>
          <w:numId w:val="2"/>
        </w:numPr>
        <w:rPr>
          <w:sz w:val="28"/>
          <w:szCs w:val="28"/>
          <w:lang w:val="ru-RU"/>
        </w:rPr>
      </w:pPr>
      <w:r>
        <w:rPr>
          <w:sz w:val="28"/>
          <w:szCs w:val="28"/>
          <w:rtl w:val="0"/>
          <w:lang w:val="ru-RU"/>
        </w:rPr>
        <w:t xml:space="preserve"> </w:t>
      </w:r>
      <w:r>
        <w:rPr>
          <w:sz w:val="28"/>
          <w:szCs w:val="28"/>
          <w:rtl w:val="0"/>
          <w:lang w:val="en-US"/>
        </w:rPr>
        <w:t>A. Batticciotto, M. Benucci, R. Talotta et al. Infections and biological therapy in patients with rheumatic diseases. IMAJ.Vol.18.</w:t>
      </w:r>
      <w:r>
        <w:rPr>
          <w:sz w:val="28"/>
          <w:szCs w:val="28"/>
          <w:rtl w:val="0"/>
          <w:lang w:val="en-US"/>
        </w:rPr>
        <w:t>Mar-Apr</w:t>
      </w:r>
      <w:r>
        <w:rPr>
          <w:sz w:val="28"/>
          <w:szCs w:val="28"/>
          <w:rtl w:val="0"/>
          <w:lang w:val="en-US"/>
        </w:rPr>
        <w:t xml:space="preserve">. </w:t>
      </w:r>
      <w:r>
        <w:rPr>
          <w:sz w:val="28"/>
          <w:szCs w:val="28"/>
          <w:rtl w:val="0"/>
        </w:rPr>
        <w:t>2016;18(3-4):164-7.</w:t>
      </w:r>
    </w:p>
    <w:p>
      <w:pPr>
        <w:pStyle w:val="Основной текст"/>
        <w:rPr>
          <w:sz w:val="28"/>
          <w:szCs w:val="28"/>
        </w:rPr>
      </w:pPr>
      <w:r>
        <w:rPr>
          <w:sz w:val="28"/>
          <w:szCs w:val="28"/>
          <w:rtl w:val="0"/>
          <w:lang w:val="en-US"/>
        </w:rPr>
        <w:t>4. J. Gomes Reino, E.Loza, J.L.Andreu et al. Cosensus statement of the Spanish society of rheumatology on risk management of biologic therapy in rheumatic patients. Reumatol Clin.2011</w:t>
      </w:r>
      <w:r>
        <w:rPr>
          <w:sz w:val="28"/>
          <w:szCs w:val="28"/>
          <w:rtl w:val="0"/>
          <w:lang w:val="ru-RU"/>
        </w:rPr>
        <w:t>;7(5):284-298</w:t>
      </w:r>
    </w:p>
    <w:p>
      <w:pPr>
        <w:pStyle w:val="Основной текст"/>
      </w:pPr>
      <w:r>
        <w:rPr>
          <w:sz w:val="28"/>
          <w:szCs w:val="28"/>
          <w:rtl w:val="0"/>
          <w:lang w:val="ru-RU"/>
        </w:rPr>
        <w:t>5</w:t>
      </w:r>
      <w:r>
        <w:rPr>
          <w:sz w:val="28"/>
          <w:szCs w:val="28"/>
          <w:rtl w:val="0"/>
          <w:lang w:val="en-US"/>
        </w:rPr>
        <w:t>. E. Forero, M. Chalem, G. Vasquez et al. Risk management for prescribing biological therapies. Rev Colomb Reumatol.2016</w:t>
      </w:r>
      <w:r>
        <w:rPr>
          <w:sz w:val="28"/>
          <w:szCs w:val="28"/>
          <w:rtl w:val="0"/>
          <w:lang w:val="ru-RU"/>
        </w:rPr>
        <w:t>;23 (1):50-67</w:t>
      </w:r>
      <w:r>
        <w:rPr>
          <w:sz w:val="28"/>
          <w:szCs w:val="28"/>
        </w:rPr>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Колонтитулы"/>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Колонтитулы"/>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С числами"/>
  </w:abstractNum>
  <w:abstractNum w:abstractNumId="1">
    <w:multiLevelType w:val="hybridMultilevel"/>
    <w:styleLink w:val="С числами"/>
    <w:lvl w:ilvl="0">
      <w:start w:val="1"/>
      <w:numFmt w:val="decimal"/>
      <w:suff w:val="tab"/>
      <w:lvlText w:val="%1."/>
      <w:lvlJc w:val="left"/>
      <w:pPr>
        <w:ind w:left="295" w:hanging="29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русский" w:val="‘“(〔[{〈《「『【⦅〘〖«〝︵︷︹︻︽︿﹁﹃﹇﹙﹛﹝｢"/>
  <w:noLineBreaksBefore w:lang="русский"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Колонтитулы">
    <w:name w:val="Колонтитулы"/>
    <w:next w:val="Колонтитулы"/>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Text">
    <w:name w:val="Body Text"/>
    <w:next w:val="Body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По умолчанию">
    <w:name w:val="По умолчанию"/>
    <w:next w:val="По умолчанию"/>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Основной текст">
    <w:name w:val="Основной текст"/>
    <w:next w:val="Основной текст"/>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С числами">
    <w:name w:val="С числами"/>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