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E6AB1A" w14:textId="77777777" w:rsidR="008169EA" w:rsidRPr="00526EEC" w:rsidRDefault="008169EA" w:rsidP="00504649">
      <w:pPr>
        <w:bidi w:val="0"/>
        <w:spacing w:after="0" w:line="360" w:lineRule="auto"/>
        <w:jc w:val="center"/>
        <w:rPr>
          <w:rFonts w:cs="Calibri"/>
          <w:b/>
          <w:bCs/>
          <w:color w:val="C00000"/>
          <w:sz w:val="32"/>
          <w:szCs w:val="32"/>
        </w:rPr>
      </w:pPr>
      <w:bookmarkStart w:id="0" w:name="_GoBack"/>
      <w:r w:rsidRPr="00526EEC">
        <w:rPr>
          <w:rFonts w:cs="Calibri"/>
          <w:b/>
          <w:bCs/>
          <w:sz w:val="28"/>
          <w:szCs w:val="28"/>
        </w:rPr>
        <w:t>COVID-19 vaccine uptake among Palestinian healthcare workers</w:t>
      </w:r>
      <w:bookmarkEnd w:id="0"/>
      <w:r w:rsidRPr="00526EEC">
        <w:rPr>
          <w:rFonts w:cs="Calibri"/>
          <w:b/>
          <w:bCs/>
          <w:sz w:val="28"/>
          <w:szCs w:val="28"/>
        </w:rPr>
        <w:t>: Expectations beaten by reality</w:t>
      </w:r>
      <w:r w:rsidRPr="00526EEC">
        <w:rPr>
          <w:rFonts w:cs="Calibri"/>
          <w:sz w:val="36"/>
          <w:szCs w:val="36"/>
        </w:rPr>
        <w:tab/>
      </w:r>
    </w:p>
    <w:p w14:paraId="6B02AD73" w14:textId="50792585" w:rsidR="00504649" w:rsidRPr="00504649" w:rsidRDefault="00504649" w:rsidP="00504649">
      <w:pPr>
        <w:tabs>
          <w:tab w:val="left" w:pos="2667"/>
        </w:tabs>
        <w:bidi w:val="0"/>
        <w:spacing w:after="0"/>
        <w:jc w:val="center"/>
        <w:rPr>
          <w:rFonts w:cs="Calibri"/>
          <w:sz w:val="24"/>
          <w:szCs w:val="24"/>
        </w:rPr>
      </w:pPr>
      <w:r w:rsidRPr="00504649">
        <w:rPr>
          <w:rFonts w:cs="Calibri"/>
          <w:b/>
          <w:bCs/>
          <w:sz w:val="20"/>
          <w:szCs w:val="20"/>
        </w:rPr>
        <w:t>Abu Alia W</w:t>
      </w:r>
      <w:r w:rsidRPr="00504649">
        <w:rPr>
          <w:rFonts w:cs="Calibri"/>
          <w:b/>
          <w:bCs/>
          <w:sz w:val="20"/>
          <w:szCs w:val="20"/>
          <w:vertAlign w:val="superscript"/>
        </w:rPr>
        <w:t>1</w:t>
      </w:r>
      <w:r w:rsidRPr="00504649">
        <w:rPr>
          <w:rFonts w:cs="Calibri"/>
          <w:b/>
          <w:bCs/>
          <w:sz w:val="20"/>
          <w:szCs w:val="20"/>
        </w:rPr>
        <w:t xml:space="preserve">, </w:t>
      </w:r>
      <w:proofErr w:type="spellStart"/>
      <w:r w:rsidRPr="00504649">
        <w:rPr>
          <w:rFonts w:cs="Calibri"/>
          <w:b/>
          <w:bCs/>
          <w:sz w:val="20"/>
          <w:szCs w:val="20"/>
        </w:rPr>
        <w:t>Maraqa</w:t>
      </w:r>
      <w:proofErr w:type="spellEnd"/>
      <w:r w:rsidRPr="00504649">
        <w:rPr>
          <w:rFonts w:cs="Calibri"/>
          <w:b/>
          <w:bCs/>
          <w:sz w:val="20"/>
          <w:szCs w:val="20"/>
        </w:rPr>
        <w:t xml:space="preserve"> B</w:t>
      </w:r>
      <w:r w:rsidRPr="00504649">
        <w:rPr>
          <w:rFonts w:cs="Calibri"/>
          <w:b/>
          <w:bCs/>
          <w:sz w:val="20"/>
          <w:szCs w:val="20"/>
          <w:vertAlign w:val="superscript"/>
        </w:rPr>
        <w:t>1</w:t>
      </w:r>
      <w:r w:rsidRPr="00504649">
        <w:rPr>
          <w:rFonts w:cs="Calibri"/>
          <w:b/>
          <w:bCs/>
          <w:sz w:val="20"/>
          <w:szCs w:val="20"/>
        </w:rPr>
        <w:t>, Nazzal Z</w:t>
      </w:r>
      <w:r w:rsidRPr="00504649">
        <w:rPr>
          <w:rFonts w:cs="Calibri"/>
          <w:b/>
          <w:bCs/>
          <w:sz w:val="20"/>
          <w:szCs w:val="20"/>
          <w:vertAlign w:val="superscript"/>
        </w:rPr>
        <w:t>2</w:t>
      </w:r>
      <w:r w:rsidRPr="00504649">
        <w:rPr>
          <w:rFonts w:cs="Calibri"/>
          <w:b/>
          <w:bCs/>
          <w:sz w:val="20"/>
          <w:szCs w:val="20"/>
        </w:rPr>
        <w:t>*</w:t>
      </w:r>
      <w:r w:rsidRPr="00504649">
        <w:rPr>
          <w:rFonts w:cs="Calibri"/>
          <w:b/>
          <w:bCs/>
          <w:sz w:val="20"/>
          <w:szCs w:val="20"/>
        </w:rPr>
        <w:t xml:space="preserve">, </w:t>
      </w:r>
      <w:proofErr w:type="spellStart"/>
      <w:r w:rsidRPr="00504649">
        <w:rPr>
          <w:rFonts w:cs="Calibri"/>
          <w:b/>
          <w:bCs/>
          <w:sz w:val="20"/>
          <w:szCs w:val="20"/>
        </w:rPr>
        <w:t>Odeh</w:t>
      </w:r>
      <w:proofErr w:type="spellEnd"/>
      <w:r w:rsidRPr="00504649">
        <w:rPr>
          <w:rFonts w:cs="Calibri"/>
          <w:b/>
          <w:bCs/>
          <w:sz w:val="20"/>
          <w:szCs w:val="20"/>
        </w:rPr>
        <w:t xml:space="preserve"> M</w:t>
      </w:r>
      <w:r w:rsidRPr="00504649">
        <w:rPr>
          <w:rFonts w:cs="Calibri"/>
          <w:b/>
          <w:bCs/>
          <w:sz w:val="20"/>
          <w:szCs w:val="20"/>
          <w:vertAlign w:val="superscript"/>
        </w:rPr>
        <w:t>2</w:t>
      </w:r>
      <w:r w:rsidRPr="00504649">
        <w:rPr>
          <w:rFonts w:cs="Calibri"/>
          <w:b/>
          <w:bCs/>
          <w:sz w:val="20"/>
          <w:szCs w:val="20"/>
        </w:rPr>
        <w:t xml:space="preserve">, </w:t>
      </w:r>
      <w:proofErr w:type="spellStart"/>
      <w:r w:rsidRPr="00504649">
        <w:rPr>
          <w:rFonts w:cs="Calibri"/>
          <w:b/>
          <w:bCs/>
          <w:color w:val="000000"/>
          <w:sz w:val="20"/>
          <w:szCs w:val="20"/>
        </w:rPr>
        <w:t>Makhalfa</w:t>
      </w:r>
      <w:proofErr w:type="spellEnd"/>
      <w:r w:rsidRPr="00504649">
        <w:rPr>
          <w:rFonts w:cs="Calibri"/>
          <w:b/>
          <w:bCs/>
          <w:color w:val="000000"/>
          <w:sz w:val="20"/>
          <w:szCs w:val="20"/>
        </w:rPr>
        <w:t xml:space="preserve"> R</w:t>
      </w:r>
      <w:r w:rsidRPr="00504649">
        <w:rPr>
          <w:rFonts w:cs="Calibri"/>
          <w:b/>
          <w:bCs/>
          <w:sz w:val="20"/>
          <w:szCs w:val="20"/>
          <w:vertAlign w:val="superscript"/>
        </w:rPr>
        <w:t>2</w:t>
      </w:r>
      <w:r w:rsidRPr="00504649">
        <w:rPr>
          <w:rFonts w:cs="Calibri"/>
          <w:b/>
          <w:bCs/>
          <w:color w:val="000000"/>
          <w:sz w:val="20"/>
          <w:szCs w:val="20"/>
        </w:rPr>
        <w:t>,</w:t>
      </w:r>
      <w:r w:rsidRPr="00504649">
        <w:rPr>
          <w:rFonts w:cs="Calibri"/>
          <w:b/>
          <w:bCs/>
          <w:color w:val="000000"/>
          <w:sz w:val="20"/>
          <w:szCs w:val="20"/>
        </w:rPr>
        <w:t xml:space="preserve"> </w:t>
      </w:r>
      <w:r w:rsidRPr="00504649">
        <w:rPr>
          <w:rFonts w:cs="Calibri"/>
          <w:b/>
          <w:bCs/>
          <w:sz w:val="20"/>
          <w:szCs w:val="20"/>
        </w:rPr>
        <w:t>Nassif</w:t>
      </w:r>
      <w:r w:rsidRPr="00504649">
        <w:rPr>
          <w:rFonts w:cs="Calibri"/>
          <w:b/>
          <w:bCs/>
          <w:sz w:val="20"/>
          <w:szCs w:val="20"/>
        </w:rPr>
        <w:t xml:space="preserve"> A</w:t>
      </w:r>
      <w:r w:rsidRPr="00504649">
        <w:rPr>
          <w:rFonts w:cs="Calibri"/>
          <w:b/>
          <w:bCs/>
          <w:sz w:val="20"/>
          <w:szCs w:val="20"/>
          <w:vertAlign w:val="superscript"/>
        </w:rPr>
        <w:t>2</w:t>
      </w:r>
      <w:r w:rsidRPr="00504649">
        <w:rPr>
          <w:rFonts w:cs="Calibri"/>
          <w:b/>
          <w:bCs/>
          <w:sz w:val="20"/>
          <w:szCs w:val="20"/>
        </w:rPr>
        <w:t xml:space="preserve">, </w:t>
      </w:r>
      <w:proofErr w:type="spellStart"/>
      <w:r w:rsidRPr="00504649">
        <w:rPr>
          <w:rFonts w:cs="Calibri"/>
          <w:b/>
          <w:bCs/>
          <w:sz w:val="20"/>
          <w:szCs w:val="20"/>
        </w:rPr>
        <w:t>Aabed</w:t>
      </w:r>
      <w:proofErr w:type="spellEnd"/>
      <w:r w:rsidRPr="00504649">
        <w:rPr>
          <w:rFonts w:cs="Calibri"/>
          <w:b/>
          <w:bCs/>
          <w:sz w:val="20"/>
          <w:szCs w:val="20"/>
        </w:rPr>
        <w:t xml:space="preserve"> M</w:t>
      </w:r>
      <w:r w:rsidRPr="00504649">
        <w:rPr>
          <w:rFonts w:cs="Calibri"/>
          <w:b/>
          <w:bCs/>
          <w:sz w:val="20"/>
          <w:szCs w:val="20"/>
          <w:vertAlign w:val="superscript"/>
        </w:rPr>
        <w:t>1</w:t>
      </w:r>
      <w:r w:rsidRPr="00504649">
        <w:rPr>
          <w:rFonts w:cs="Calibri"/>
          <w:b/>
          <w:bCs/>
          <w:sz w:val="20"/>
          <w:szCs w:val="20"/>
        </w:rPr>
        <w:t>.</w:t>
      </w:r>
    </w:p>
    <w:p w14:paraId="0C2C8E83" w14:textId="1485FAA7" w:rsidR="008169EA" w:rsidRPr="00504649" w:rsidRDefault="00504649" w:rsidP="00504649">
      <w:pPr>
        <w:bidi w:val="0"/>
        <w:spacing w:after="0"/>
        <w:rPr>
          <w:rFonts w:cs="Calibri"/>
          <w:sz w:val="16"/>
          <w:szCs w:val="16"/>
        </w:rPr>
      </w:pPr>
      <w:r w:rsidRPr="00504649">
        <w:rPr>
          <w:rFonts w:eastAsiaTheme="minorEastAsia" w:cs="Calibri"/>
          <w:b/>
          <w:bCs/>
        </w:rPr>
        <w:t>*</w:t>
      </w:r>
      <w:r w:rsidR="008169EA" w:rsidRPr="00504649">
        <w:rPr>
          <w:rFonts w:eastAsiaTheme="minorEastAsia" w:cs="Calibri"/>
          <w:b/>
          <w:bCs/>
        </w:rPr>
        <w:t>Correspondent author</w:t>
      </w:r>
      <w:r w:rsidR="008169EA" w:rsidRPr="00504649">
        <w:rPr>
          <w:rFonts w:eastAsiaTheme="minorEastAsia" w:cs="Calibri"/>
          <w:b/>
          <w:bCs/>
          <w:sz w:val="20"/>
          <w:szCs w:val="20"/>
        </w:rPr>
        <w:t>:</w:t>
      </w:r>
      <w:r w:rsidRPr="00504649">
        <w:rPr>
          <w:rFonts w:eastAsiaTheme="minorEastAsia" w:cs="Calibri"/>
          <w:b/>
          <w:bCs/>
          <w:sz w:val="20"/>
          <w:szCs w:val="20"/>
        </w:rPr>
        <w:t xml:space="preserve"> </w:t>
      </w:r>
      <w:r w:rsidR="008169EA" w:rsidRPr="00504649">
        <w:rPr>
          <w:rFonts w:cs="Calibri"/>
          <w:bCs/>
          <w:sz w:val="20"/>
          <w:szCs w:val="20"/>
        </w:rPr>
        <w:t>MD, Consultant Community Medicine, Faculty of Medicine and Health Sciences, An-</w:t>
      </w:r>
      <w:proofErr w:type="spellStart"/>
      <w:r w:rsidR="008169EA" w:rsidRPr="00504649">
        <w:rPr>
          <w:rFonts w:cs="Calibri"/>
          <w:bCs/>
          <w:sz w:val="20"/>
          <w:szCs w:val="20"/>
        </w:rPr>
        <w:t>Najah</w:t>
      </w:r>
      <w:proofErr w:type="spellEnd"/>
      <w:r w:rsidR="008169EA" w:rsidRPr="00504649">
        <w:rPr>
          <w:rFonts w:cs="Calibri"/>
          <w:bCs/>
          <w:sz w:val="20"/>
          <w:szCs w:val="20"/>
        </w:rPr>
        <w:t xml:space="preserve"> National University.</w:t>
      </w:r>
      <w:r w:rsidR="008169EA" w:rsidRPr="00504649">
        <w:rPr>
          <w:rFonts w:cs="Calibri"/>
          <w:sz w:val="20"/>
          <w:szCs w:val="20"/>
        </w:rPr>
        <w:t xml:space="preserve"> Email:  </w:t>
      </w:r>
      <w:hyperlink r:id="rId13" w:history="1">
        <w:r w:rsidR="008169EA" w:rsidRPr="00504649">
          <w:rPr>
            <w:rStyle w:val="Hyperlink"/>
            <w:rFonts w:cs="Calibri"/>
            <w:sz w:val="20"/>
            <w:szCs w:val="20"/>
          </w:rPr>
          <w:t>znazzal@najah.edu</w:t>
        </w:r>
      </w:hyperlink>
      <w:r w:rsidR="008169EA" w:rsidRPr="00504649">
        <w:rPr>
          <w:rFonts w:cs="Calibri"/>
          <w:sz w:val="20"/>
          <w:szCs w:val="20"/>
        </w:rPr>
        <w:t>, Mob: +(972) (599) 545421.</w:t>
      </w:r>
      <w:r w:rsidRPr="00504649">
        <w:rPr>
          <w:rFonts w:cs="Calibri"/>
          <w:sz w:val="20"/>
          <w:szCs w:val="20"/>
        </w:rPr>
        <w:t xml:space="preserve"> </w:t>
      </w:r>
      <w:r w:rsidR="008169EA" w:rsidRPr="00504649">
        <w:rPr>
          <w:rFonts w:cs="Calibri"/>
          <w:sz w:val="20"/>
          <w:szCs w:val="20"/>
        </w:rPr>
        <w:t xml:space="preserve">Nablus, Palestine, Box 7,707 Tel. </w:t>
      </w:r>
      <w:r w:rsidR="008169EA" w:rsidRPr="00504649">
        <w:rPr>
          <w:rFonts w:cs="Calibri"/>
          <w:sz w:val="20"/>
          <w:szCs w:val="20"/>
          <w:rtl/>
        </w:rPr>
        <w:t xml:space="preserve">(09) (972) </w:t>
      </w:r>
      <w:proofErr w:type="gramStart"/>
      <w:r w:rsidR="008169EA" w:rsidRPr="00504649">
        <w:rPr>
          <w:rFonts w:cs="Calibri"/>
          <w:sz w:val="20"/>
          <w:szCs w:val="20"/>
          <w:rtl/>
        </w:rPr>
        <w:t xml:space="preserve">+ </w:t>
      </w:r>
      <w:r w:rsidR="008169EA" w:rsidRPr="00504649">
        <w:rPr>
          <w:rFonts w:cs="Calibri"/>
          <w:sz w:val="20"/>
          <w:szCs w:val="20"/>
        </w:rPr>
        <w:t xml:space="preserve"> 2342902</w:t>
      </w:r>
      <w:proofErr w:type="gramEnd"/>
      <w:r w:rsidR="008169EA" w:rsidRPr="00504649">
        <w:rPr>
          <w:rFonts w:cs="Calibri"/>
          <w:sz w:val="20"/>
          <w:szCs w:val="20"/>
        </w:rPr>
        <w:t xml:space="preserve">/4/7/8/14 Fax:+ </w:t>
      </w:r>
      <w:r w:rsidR="008169EA" w:rsidRPr="00504649">
        <w:rPr>
          <w:rFonts w:cs="Calibri"/>
          <w:sz w:val="20"/>
          <w:szCs w:val="20"/>
          <w:rtl/>
        </w:rPr>
        <w:t>2342905(09) (972)</w:t>
      </w:r>
    </w:p>
    <w:p w14:paraId="1FC34D92" w14:textId="3DF9C97B" w:rsidR="00504649" w:rsidRDefault="00504649" w:rsidP="00504649">
      <w:pPr>
        <w:spacing w:after="0"/>
      </w:pPr>
    </w:p>
    <w:p w14:paraId="01786C89" w14:textId="77777777" w:rsidR="00504649" w:rsidRDefault="00504649" w:rsidP="00504649">
      <w:pPr>
        <w:bidi w:val="0"/>
        <w:spacing w:after="0" w:line="360" w:lineRule="auto"/>
        <w:rPr>
          <w:rFonts w:cs="Calibri"/>
          <w:b/>
          <w:bCs/>
          <w:sz w:val="28"/>
          <w:szCs w:val="28"/>
        </w:rPr>
      </w:pPr>
    </w:p>
    <w:p w14:paraId="310D4652" w14:textId="3E5C9978" w:rsidR="00504649" w:rsidRPr="00526EEC" w:rsidRDefault="00504649" w:rsidP="00504649">
      <w:pPr>
        <w:bidi w:val="0"/>
        <w:spacing w:after="0" w:line="360" w:lineRule="auto"/>
        <w:jc w:val="center"/>
        <w:rPr>
          <w:rFonts w:cs="Calibri"/>
          <w:b/>
          <w:bCs/>
          <w:sz w:val="28"/>
          <w:szCs w:val="28"/>
        </w:rPr>
      </w:pPr>
      <w:r w:rsidRPr="00526EEC">
        <w:rPr>
          <w:rFonts w:cs="Calibri"/>
          <w:b/>
          <w:bCs/>
          <w:sz w:val="28"/>
          <w:szCs w:val="28"/>
        </w:rPr>
        <w:t>ABSTRACT</w:t>
      </w:r>
    </w:p>
    <w:p w14:paraId="654F7AD9" w14:textId="77777777" w:rsidR="00504649" w:rsidRDefault="00504649" w:rsidP="00504649">
      <w:pPr>
        <w:bidi w:val="0"/>
        <w:spacing w:after="0" w:line="360" w:lineRule="auto"/>
        <w:jc w:val="both"/>
        <w:rPr>
          <w:rFonts w:cs="Calibri"/>
        </w:rPr>
      </w:pPr>
      <w:r w:rsidRPr="00CF0DB1">
        <w:rPr>
          <w:rFonts w:cs="Calibri"/>
          <w:b/>
          <w:bCs/>
        </w:rPr>
        <w:t xml:space="preserve">Background: </w:t>
      </w:r>
      <w:r w:rsidRPr="00CF0DB1">
        <w:rPr>
          <w:rFonts w:cs="Calibri"/>
        </w:rPr>
        <w:t>In response to this extraordinary outbreak, many countries and companies rush to develop an effective vaccine, authorize, and deliver it to all people across the world. Despite these extensive efforts, curbing this pandemic relies highly upon vaccination coverage. This study aim</w:t>
      </w:r>
      <w:r>
        <w:rPr>
          <w:rFonts w:cs="Calibri"/>
        </w:rPr>
        <w:t>ed</w:t>
      </w:r>
      <w:r w:rsidRPr="00CF0DB1">
        <w:rPr>
          <w:rFonts w:cs="Calibri"/>
        </w:rPr>
        <w:t xml:space="preserve"> to determine SARS-COV-2 vaccine uptake among Palestinian healthcare workers, the factors that influence vaccination uptake, and the motivators and barriers to vaccination.</w:t>
      </w:r>
    </w:p>
    <w:p w14:paraId="3528C67A" w14:textId="77777777" w:rsidR="00504649" w:rsidRPr="00CF0DB1" w:rsidRDefault="00504649" w:rsidP="00504649">
      <w:pPr>
        <w:bidi w:val="0"/>
        <w:spacing w:after="0" w:line="360" w:lineRule="auto"/>
        <w:jc w:val="both"/>
        <w:rPr>
          <w:rFonts w:cs="Calibri"/>
          <w:b/>
          <w:bCs/>
        </w:rPr>
      </w:pPr>
      <w:r w:rsidRPr="00CF0DB1">
        <w:rPr>
          <w:rFonts w:cs="Calibri"/>
          <w:b/>
          <w:bCs/>
        </w:rPr>
        <w:t xml:space="preserve">Methods: </w:t>
      </w:r>
      <w:r w:rsidRPr="00CF0DB1">
        <w:rPr>
          <w:rFonts w:cs="Calibri"/>
        </w:rPr>
        <w:t>A cross-sectional study was conducted using an online anonymous self-administered questionnaire during April and May 2021, enough time after the Palestinian Ministry of Health launched the COVID-19 vaccination campaign. The questionnaire collected socio-demographic characteristics, vaccination attitude and vaccination uptake status, and motivators and barriers towards vaccination. In addition, multivariate logistic regression was performed to identify the influencing factors of vaccination uptake.</w:t>
      </w:r>
    </w:p>
    <w:p w14:paraId="78530285" w14:textId="77777777" w:rsidR="00504649" w:rsidRPr="00CF0DB1" w:rsidRDefault="00504649" w:rsidP="00504649">
      <w:pPr>
        <w:bidi w:val="0"/>
        <w:spacing w:after="0" w:line="360" w:lineRule="auto"/>
        <w:jc w:val="both"/>
        <w:rPr>
          <w:rFonts w:cs="Calibri"/>
          <w:b/>
          <w:bCs/>
        </w:rPr>
      </w:pPr>
      <w:r w:rsidRPr="00CF0DB1">
        <w:rPr>
          <w:rFonts w:cs="Calibri"/>
          <w:b/>
          <w:bCs/>
        </w:rPr>
        <w:t xml:space="preserve">Results: </w:t>
      </w:r>
      <w:r w:rsidRPr="00CF0DB1">
        <w:rPr>
          <w:rFonts w:cs="Calibri"/>
        </w:rPr>
        <w:t>The study included 1018 participants from different professions, including 560 (55.0%) females. Of the participants, 677 (66.5%; 95% CI: 63.5%- 69.4%) received the vaccine. Higher uptake was observed among males (</w:t>
      </w:r>
      <w:proofErr w:type="spellStart"/>
      <w:r w:rsidRPr="00CF0DB1">
        <w:rPr>
          <w:rFonts w:cs="Calibri"/>
        </w:rPr>
        <w:t>aOR</w:t>
      </w:r>
      <w:proofErr w:type="spellEnd"/>
      <w:r w:rsidRPr="00CF0DB1">
        <w:rPr>
          <w:rFonts w:cs="Calibri"/>
        </w:rPr>
        <w:t>=1.5; 95%CI: 1.1-2.1), single HCWs (</w:t>
      </w:r>
      <w:proofErr w:type="spellStart"/>
      <w:r w:rsidRPr="00CF0DB1">
        <w:rPr>
          <w:rFonts w:cs="Calibri"/>
        </w:rPr>
        <w:t>aOR</w:t>
      </w:r>
      <w:proofErr w:type="spellEnd"/>
      <w:r w:rsidRPr="00CF0DB1">
        <w:rPr>
          <w:rFonts w:cs="Calibri"/>
        </w:rPr>
        <w:t>=1.3; 95%CI: 1.1-1.8), HCWs working in the non-governmental sector (</w:t>
      </w:r>
      <w:proofErr w:type="spellStart"/>
      <w:r w:rsidRPr="00CF0DB1">
        <w:rPr>
          <w:rFonts w:cs="Calibri"/>
        </w:rPr>
        <w:t>aOR</w:t>
      </w:r>
      <w:proofErr w:type="spellEnd"/>
      <w:r w:rsidRPr="00CF0DB1">
        <w:rPr>
          <w:rFonts w:cs="Calibri"/>
        </w:rPr>
        <w:t>=1.6; 95%CI: 1.2-2.4), higher monthly income (</w:t>
      </w:r>
      <w:proofErr w:type="spellStart"/>
      <w:r w:rsidRPr="00CF0DB1">
        <w:rPr>
          <w:rFonts w:cs="Calibri"/>
        </w:rPr>
        <w:t>aOR</w:t>
      </w:r>
      <w:proofErr w:type="spellEnd"/>
      <w:r w:rsidRPr="00CF0DB1">
        <w:rPr>
          <w:rFonts w:cs="Calibri"/>
        </w:rPr>
        <w:t>=1.9; 95%CI: 1.4-2.8) and smoking (</w:t>
      </w:r>
      <w:proofErr w:type="spellStart"/>
      <w:r w:rsidRPr="00CF0DB1">
        <w:rPr>
          <w:rFonts w:cs="Calibri"/>
        </w:rPr>
        <w:t>aOR</w:t>
      </w:r>
      <w:proofErr w:type="spellEnd"/>
      <w:r w:rsidRPr="00CF0DB1">
        <w:rPr>
          <w:rFonts w:cs="Calibri"/>
        </w:rPr>
        <w:t>=1.5; 95%CI: 1.1-3.5). The lower level of negative vaccination attitudes predicted higher intake; mistrust of vaccine belief (</w:t>
      </w:r>
      <w:proofErr w:type="spellStart"/>
      <w:r w:rsidRPr="00CF0DB1">
        <w:rPr>
          <w:rFonts w:cs="Calibri"/>
        </w:rPr>
        <w:t>aOR</w:t>
      </w:r>
      <w:proofErr w:type="spellEnd"/>
      <w:r w:rsidRPr="00CF0DB1">
        <w:rPr>
          <w:rFonts w:cs="Calibri"/>
        </w:rPr>
        <w:t>=1.6; 95%CI: 1.4-1.7) and worries over unforeseen future effects (</w:t>
      </w:r>
      <w:proofErr w:type="spellStart"/>
      <w:r w:rsidRPr="00CF0DB1">
        <w:rPr>
          <w:rFonts w:cs="Calibri"/>
        </w:rPr>
        <w:t>aOR</w:t>
      </w:r>
      <w:proofErr w:type="spellEnd"/>
      <w:r w:rsidRPr="00CF0DB1">
        <w:rPr>
          <w:rFonts w:cs="Calibri"/>
        </w:rPr>
        <w:t>=1.2; 95%CI: 1.1-1.3).</w:t>
      </w:r>
    </w:p>
    <w:p w14:paraId="23949E1B" w14:textId="77777777" w:rsidR="00504649" w:rsidRPr="00CF0DB1" w:rsidRDefault="00504649" w:rsidP="00504649">
      <w:pPr>
        <w:bidi w:val="0"/>
        <w:spacing w:after="0" w:line="360" w:lineRule="auto"/>
        <w:jc w:val="both"/>
        <w:rPr>
          <w:rFonts w:cs="Calibri"/>
          <w:b/>
          <w:bCs/>
        </w:rPr>
      </w:pPr>
      <w:r w:rsidRPr="00CF0DB1">
        <w:rPr>
          <w:rFonts w:cs="Calibri"/>
          <w:b/>
          <w:bCs/>
        </w:rPr>
        <w:t xml:space="preserve">Conclusion: </w:t>
      </w:r>
      <w:r w:rsidRPr="00CF0DB1">
        <w:rPr>
          <w:rFonts w:cs="Calibri"/>
        </w:rPr>
        <w:t>In conclusion, the COVID-19 vaccination uptake was comparable to other studies worldwide but still needs to be improved, especially in the context of this ongoing global pandemic. It is imperative to invest resources to promote vaccination uptake and target all the vaccine misconceptions and fears.</w:t>
      </w:r>
    </w:p>
    <w:p w14:paraId="178239F8" w14:textId="77777777" w:rsidR="00504649" w:rsidRPr="00526EEC" w:rsidRDefault="00504649" w:rsidP="00504649">
      <w:pPr>
        <w:bidi w:val="0"/>
        <w:spacing w:after="0" w:line="360" w:lineRule="auto"/>
        <w:jc w:val="both"/>
        <w:rPr>
          <w:rFonts w:cs="Calibri"/>
          <w:sz w:val="28"/>
          <w:szCs w:val="28"/>
        </w:rPr>
      </w:pPr>
      <w:r w:rsidRPr="00526EEC">
        <w:rPr>
          <w:rFonts w:cs="Calibri"/>
          <w:b/>
          <w:bCs/>
          <w:sz w:val="24"/>
          <w:szCs w:val="24"/>
        </w:rPr>
        <w:t>Keywords</w:t>
      </w:r>
      <w:r w:rsidRPr="00526EEC">
        <w:rPr>
          <w:rFonts w:cs="Calibri"/>
          <w:sz w:val="24"/>
          <w:szCs w:val="24"/>
        </w:rPr>
        <w:t xml:space="preserve">: </w:t>
      </w:r>
      <w:r w:rsidRPr="00526EEC">
        <w:rPr>
          <w:rFonts w:cs="Calibri"/>
        </w:rPr>
        <w:t> COVID-19 Vaccine; Vaccination Uptake; Healthcare workers; Palestine</w:t>
      </w:r>
    </w:p>
    <w:p w14:paraId="6D450A71" w14:textId="2A979718" w:rsidR="00504649" w:rsidRPr="00504649" w:rsidRDefault="00504649" w:rsidP="00504649">
      <w:pPr>
        <w:spacing w:after="0"/>
        <w:jc w:val="right"/>
      </w:pPr>
    </w:p>
    <w:sectPr w:rsidR="00504649" w:rsidRPr="00504649" w:rsidSect="00D255C3">
      <w:footerReference w:type="default" r:id="rId14"/>
      <w:type w:val="continuous"/>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A0C86E" w14:textId="77777777" w:rsidR="00AC41A5" w:rsidRDefault="00AC41A5">
      <w:pPr>
        <w:spacing w:after="0" w:line="240" w:lineRule="auto"/>
      </w:pPr>
      <w:r>
        <w:separator/>
      </w:r>
    </w:p>
  </w:endnote>
  <w:endnote w:type="continuationSeparator" w:id="0">
    <w:p w14:paraId="19C94277" w14:textId="77777777" w:rsidR="00AC41A5" w:rsidRDefault="00AC41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29B03" w14:textId="35F2122F" w:rsidR="001E16D9" w:rsidRDefault="001E16D9">
    <w:pPr>
      <w:pStyle w:val="Footer"/>
    </w:pPr>
    <w:r>
      <w:fldChar w:fldCharType="begin"/>
    </w:r>
    <w:r>
      <w:instrText xml:space="preserve"> PAGE   \* MERGEFORMAT </w:instrText>
    </w:r>
    <w:r>
      <w:fldChar w:fldCharType="separate"/>
    </w:r>
    <w:r w:rsidR="00504649">
      <w:rPr>
        <w:noProof/>
        <w:rtl/>
      </w:rPr>
      <w:t>1</w:t>
    </w:r>
    <w:r>
      <w:rPr>
        <w:noProof/>
      </w:rPr>
      <w:fldChar w:fldCharType="end"/>
    </w:r>
  </w:p>
  <w:p w14:paraId="16D19C88" w14:textId="77777777" w:rsidR="001E16D9" w:rsidRDefault="001E16D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F78097" w14:textId="77777777" w:rsidR="00AC41A5" w:rsidRDefault="00AC41A5">
      <w:pPr>
        <w:spacing w:after="0" w:line="240" w:lineRule="auto"/>
      </w:pPr>
      <w:r>
        <w:separator/>
      </w:r>
    </w:p>
  </w:footnote>
  <w:footnote w:type="continuationSeparator" w:id="0">
    <w:p w14:paraId="2D4BFD49" w14:textId="77777777" w:rsidR="00AC41A5" w:rsidRDefault="00AC41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D54BD"/>
    <w:multiLevelType w:val="hybridMultilevel"/>
    <w:tmpl w:val="18F6FD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53936E3"/>
    <w:multiLevelType w:val="hybridMultilevel"/>
    <w:tmpl w:val="C54A3CFC"/>
    <w:lvl w:ilvl="0" w:tplc="5D96BDFC">
      <w:start w:val="1"/>
      <w:numFmt w:val="decimal"/>
      <w:lvlText w:val="%1"/>
      <w:lvlJc w:val="left"/>
      <w:pPr>
        <w:ind w:left="720" w:hanging="360"/>
      </w:pPr>
      <w:rPr>
        <w:rFonts w:cs="Times New Roman" w:hint="default"/>
      </w:rPr>
    </w:lvl>
    <w:lvl w:ilvl="1" w:tplc="1026EAA8" w:tentative="1">
      <w:start w:val="1"/>
      <w:numFmt w:val="lowerLetter"/>
      <w:lvlText w:val="%2."/>
      <w:lvlJc w:val="left"/>
      <w:pPr>
        <w:ind w:left="1440" w:hanging="360"/>
      </w:pPr>
      <w:rPr>
        <w:rFonts w:cs="Times New Roman"/>
      </w:rPr>
    </w:lvl>
    <w:lvl w:ilvl="2" w:tplc="ABC42DC4" w:tentative="1">
      <w:start w:val="1"/>
      <w:numFmt w:val="lowerRoman"/>
      <w:lvlText w:val="%3."/>
      <w:lvlJc w:val="right"/>
      <w:pPr>
        <w:ind w:left="2160" w:hanging="180"/>
      </w:pPr>
      <w:rPr>
        <w:rFonts w:cs="Times New Roman"/>
      </w:rPr>
    </w:lvl>
    <w:lvl w:ilvl="3" w:tplc="33E647B0" w:tentative="1">
      <w:start w:val="1"/>
      <w:numFmt w:val="decimal"/>
      <w:lvlText w:val="%4."/>
      <w:lvlJc w:val="left"/>
      <w:pPr>
        <w:ind w:left="2880" w:hanging="360"/>
      </w:pPr>
      <w:rPr>
        <w:rFonts w:cs="Times New Roman"/>
      </w:rPr>
    </w:lvl>
    <w:lvl w:ilvl="4" w:tplc="A5927EC8" w:tentative="1">
      <w:start w:val="1"/>
      <w:numFmt w:val="lowerLetter"/>
      <w:lvlText w:val="%5."/>
      <w:lvlJc w:val="left"/>
      <w:pPr>
        <w:ind w:left="3600" w:hanging="360"/>
      </w:pPr>
      <w:rPr>
        <w:rFonts w:cs="Times New Roman"/>
      </w:rPr>
    </w:lvl>
    <w:lvl w:ilvl="5" w:tplc="4C105934" w:tentative="1">
      <w:start w:val="1"/>
      <w:numFmt w:val="lowerRoman"/>
      <w:lvlText w:val="%6."/>
      <w:lvlJc w:val="right"/>
      <w:pPr>
        <w:ind w:left="4320" w:hanging="180"/>
      </w:pPr>
      <w:rPr>
        <w:rFonts w:cs="Times New Roman"/>
      </w:rPr>
    </w:lvl>
    <w:lvl w:ilvl="6" w:tplc="B5368228" w:tentative="1">
      <w:start w:val="1"/>
      <w:numFmt w:val="decimal"/>
      <w:lvlText w:val="%7."/>
      <w:lvlJc w:val="left"/>
      <w:pPr>
        <w:ind w:left="5040" w:hanging="360"/>
      </w:pPr>
      <w:rPr>
        <w:rFonts w:cs="Times New Roman"/>
      </w:rPr>
    </w:lvl>
    <w:lvl w:ilvl="7" w:tplc="A51A72A2" w:tentative="1">
      <w:start w:val="1"/>
      <w:numFmt w:val="lowerLetter"/>
      <w:lvlText w:val="%8."/>
      <w:lvlJc w:val="left"/>
      <w:pPr>
        <w:ind w:left="5760" w:hanging="360"/>
      </w:pPr>
      <w:rPr>
        <w:rFonts w:cs="Times New Roman"/>
      </w:rPr>
    </w:lvl>
    <w:lvl w:ilvl="8" w:tplc="114E1986" w:tentative="1">
      <w:start w:val="1"/>
      <w:numFmt w:val="lowerRoman"/>
      <w:lvlText w:val="%9."/>
      <w:lvlJc w:val="right"/>
      <w:pPr>
        <w:ind w:left="6480" w:hanging="180"/>
      </w:pPr>
      <w:rPr>
        <w:rFonts w:cs="Times New Roman"/>
      </w:rPr>
    </w:lvl>
  </w:abstractNum>
  <w:abstractNum w:abstractNumId="2" w15:restartNumberingAfterBreak="0">
    <w:nsid w:val="27691D99"/>
    <w:multiLevelType w:val="hybridMultilevel"/>
    <w:tmpl w:val="E34C81B8"/>
    <w:lvl w:ilvl="0" w:tplc="0F1E6A8C">
      <w:start w:val="1"/>
      <w:numFmt w:val="bullet"/>
      <w:lvlText w:val="o"/>
      <w:lvlJc w:val="left"/>
      <w:pPr>
        <w:ind w:left="720" w:hanging="360"/>
      </w:pPr>
      <w:rPr>
        <w:rFonts w:ascii="Courier New" w:hAnsi="Courier New" w:cs="Courier New" w:hint="default"/>
      </w:rPr>
    </w:lvl>
    <w:lvl w:ilvl="1" w:tplc="EBB2B950" w:tentative="1">
      <w:start w:val="1"/>
      <w:numFmt w:val="bullet"/>
      <w:lvlText w:val="o"/>
      <w:lvlJc w:val="left"/>
      <w:pPr>
        <w:ind w:left="1440" w:hanging="360"/>
      </w:pPr>
      <w:rPr>
        <w:rFonts w:ascii="Courier New" w:hAnsi="Courier New" w:cs="Courier New" w:hint="default"/>
      </w:rPr>
    </w:lvl>
    <w:lvl w:ilvl="2" w:tplc="E47ACFF2" w:tentative="1">
      <w:start w:val="1"/>
      <w:numFmt w:val="bullet"/>
      <w:lvlText w:val=""/>
      <w:lvlJc w:val="left"/>
      <w:pPr>
        <w:ind w:left="2160" w:hanging="360"/>
      </w:pPr>
      <w:rPr>
        <w:rFonts w:ascii="Wingdings" w:hAnsi="Wingdings" w:hint="default"/>
      </w:rPr>
    </w:lvl>
    <w:lvl w:ilvl="3" w:tplc="0D086F9E" w:tentative="1">
      <w:start w:val="1"/>
      <w:numFmt w:val="bullet"/>
      <w:lvlText w:val=""/>
      <w:lvlJc w:val="left"/>
      <w:pPr>
        <w:ind w:left="2880" w:hanging="360"/>
      </w:pPr>
      <w:rPr>
        <w:rFonts w:ascii="Symbol" w:hAnsi="Symbol" w:hint="default"/>
      </w:rPr>
    </w:lvl>
    <w:lvl w:ilvl="4" w:tplc="A0B6DA70" w:tentative="1">
      <w:start w:val="1"/>
      <w:numFmt w:val="bullet"/>
      <w:lvlText w:val="o"/>
      <w:lvlJc w:val="left"/>
      <w:pPr>
        <w:ind w:left="3600" w:hanging="360"/>
      </w:pPr>
      <w:rPr>
        <w:rFonts w:ascii="Courier New" w:hAnsi="Courier New" w:cs="Courier New" w:hint="default"/>
      </w:rPr>
    </w:lvl>
    <w:lvl w:ilvl="5" w:tplc="81DC719E" w:tentative="1">
      <w:start w:val="1"/>
      <w:numFmt w:val="bullet"/>
      <w:lvlText w:val=""/>
      <w:lvlJc w:val="left"/>
      <w:pPr>
        <w:ind w:left="4320" w:hanging="360"/>
      </w:pPr>
      <w:rPr>
        <w:rFonts w:ascii="Wingdings" w:hAnsi="Wingdings" w:hint="default"/>
      </w:rPr>
    </w:lvl>
    <w:lvl w:ilvl="6" w:tplc="48DC9796" w:tentative="1">
      <w:start w:val="1"/>
      <w:numFmt w:val="bullet"/>
      <w:lvlText w:val=""/>
      <w:lvlJc w:val="left"/>
      <w:pPr>
        <w:ind w:left="5040" w:hanging="360"/>
      </w:pPr>
      <w:rPr>
        <w:rFonts w:ascii="Symbol" w:hAnsi="Symbol" w:hint="default"/>
      </w:rPr>
    </w:lvl>
    <w:lvl w:ilvl="7" w:tplc="C5946860" w:tentative="1">
      <w:start w:val="1"/>
      <w:numFmt w:val="bullet"/>
      <w:lvlText w:val="o"/>
      <w:lvlJc w:val="left"/>
      <w:pPr>
        <w:ind w:left="5760" w:hanging="360"/>
      </w:pPr>
      <w:rPr>
        <w:rFonts w:ascii="Courier New" w:hAnsi="Courier New" w:cs="Courier New" w:hint="default"/>
      </w:rPr>
    </w:lvl>
    <w:lvl w:ilvl="8" w:tplc="B1B052C4" w:tentative="1">
      <w:start w:val="1"/>
      <w:numFmt w:val="bullet"/>
      <w:lvlText w:val=""/>
      <w:lvlJc w:val="left"/>
      <w:pPr>
        <w:ind w:left="6480" w:hanging="360"/>
      </w:pPr>
      <w:rPr>
        <w:rFonts w:ascii="Wingdings" w:hAnsi="Wingdings" w:hint="default"/>
      </w:rPr>
    </w:lvl>
  </w:abstractNum>
  <w:abstractNum w:abstractNumId="3" w15:restartNumberingAfterBreak="0">
    <w:nsid w:val="7A881483"/>
    <w:multiLevelType w:val="hybridMultilevel"/>
    <w:tmpl w:val="9850A336"/>
    <w:lvl w:ilvl="0" w:tplc="F9A033C2">
      <w:numFmt w:val="bullet"/>
      <w:lvlText w:val="-"/>
      <w:lvlJc w:val="left"/>
      <w:pPr>
        <w:ind w:left="720" w:hanging="360"/>
      </w:pPr>
      <w:rPr>
        <w:rFonts w:ascii="Calibri" w:eastAsia="Calibri" w:hAnsi="Calibri" w:cs="Calibri" w:hint="default"/>
        <w:sz w:val="22"/>
      </w:rPr>
    </w:lvl>
    <w:lvl w:ilvl="1" w:tplc="E30E555E" w:tentative="1">
      <w:start w:val="1"/>
      <w:numFmt w:val="bullet"/>
      <w:lvlText w:val="o"/>
      <w:lvlJc w:val="left"/>
      <w:pPr>
        <w:ind w:left="1440" w:hanging="360"/>
      </w:pPr>
      <w:rPr>
        <w:rFonts w:ascii="Courier New" w:hAnsi="Courier New" w:cs="Courier New" w:hint="default"/>
      </w:rPr>
    </w:lvl>
    <w:lvl w:ilvl="2" w:tplc="65AE3F86" w:tentative="1">
      <w:start w:val="1"/>
      <w:numFmt w:val="bullet"/>
      <w:lvlText w:val=""/>
      <w:lvlJc w:val="left"/>
      <w:pPr>
        <w:ind w:left="2160" w:hanging="360"/>
      </w:pPr>
      <w:rPr>
        <w:rFonts w:ascii="Wingdings" w:hAnsi="Wingdings" w:hint="default"/>
      </w:rPr>
    </w:lvl>
    <w:lvl w:ilvl="3" w:tplc="8934F326" w:tentative="1">
      <w:start w:val="1"/>
      <w:numFmt w:val="bullet"/>
      <w:lvlText w:val=""/>
      <w:lvlJc w:val="left"/>
      <w:pPr>
        <w:ind w:left="2880" w:hanging="360"/>
      </w:pPr>
      <w:rPr>
        <w:rFonts w:ascii="Symbol" w:hAnsi="Symbol" w:hint="default"/>
      </w:rPr>
    </w:lvl>
    <w:lvl w:ilvl="4" w:tplc="B524930C" w:tentative="1">
      <w:start w:val="1"/>
      <w:numFmt w:val="bullet"/>
      <w:lvlText w:val="o"/>
      <w:lvlJc w:val="left"/>
      <w:pPr>
        <w:ind w:left="3600" w:hanging="360"/>
      </w:pPr>
      <w:rPr>
        <w:rFonts w:ascii="Courier New" w:hAnsi="Courier New" w:cs="Courier New" w:hint="default"/>
      </w:rPr>
    </w:lvl>
    <w:lvl w:ilvl="5" w:tplc="A8EC1074" w:tentative="1">
      <w:start w:val="1"/>
      <w:numFmt w:val="bullet"/>
      <w:lvlText w:val=""/>
      <w:lvlJc w:val="left"/>
      <w:pPr>
        <w:ind w:left="4320" w:hanging="360"/>
      </w:pPr>
      <w:rPr>
        <w:rFonts w:ascii="Wingdings" w:hAnsi="Wingdings" w:hint="default"/>
      </w:rPr>
    </w:lvl>
    <w:lvl w:ilvl="6" w:tplc="8370D49C" w:tentative="1">
      <w:start w:val="1"/>
      <w:numFmt w:val="bullet"/>
      <w:lvlText w:val=""/>
      <w:lvlJc w:val="left"/>
      <w:pPr>
        <w:ind w:left="5040" w:hanging="360"/>
      </w:pPr>
      <w:rPr>
        <w:rFonts w:ascii="Symbol" w:hAnsi="Symbol" w:hint="default"/>
      </w:rPr>
    </w:lvl>
    <w:lvl w:ilvl="7" w:tplc="0504ECD8" w:tentative="1">
      <w:start w:val="1"/>
      <w:numFmt w:val="bullet"/>
      <w:lvlText w:val="o"/>
      <w:lvlJc w:val="left"/>
      <w:pPr>
        <w:ind w:left="5760" w:hanging="360"/>
      </w:pPr>
      <w:rPr>
        <w:rFonts w:ascii="Courier New" w:hAnsi="Courier New" w:cs="Courier New" w:hint="default"/>
      </w:rPr>
    </w:lvl>
    <w:lvl w:ilvl="8" w:tplc="AD7E5E70"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G1NLYwNjW3NDAxMrVQ0lEKTi0uzszPAykwtKwFAMGRIVMtAAAA"/>
  </w:docVars>
  <w:rsids>
    <w:rsidRoot w:val="0052046F"/>
    <w:rsid w:val="000005DC"/>
    <w:rsid w:val="00051D16"/>
    <w:rsid w:val="000613C7"/>
    <w:rsid w:val="00073362"/>
    <w:rsid w:val="00083F72"/>
    <w:rsid w:val="000D5275"/>
    <w:rsid w:val="00100BEA"/>
    <w:rsid w:val="001173DA"/>
    <w:rsid w:val="00123234"/>
    <w:rsid w:val="00123EA3"/>
    <w:rsid w:val="00153471"/>
    <w:rsid w:val="00197DB9"/>
    <w:rsid w:val="001E16D9"/>
    <w:rsid w:val="00227890"/>
    <w:rsid w:val="00243EA5"/>
    <w:rsid w:val="00256B20"/>
    <w:rsid w:val="00262F6A"/>
    <w:rsid w:val="00285E58"/>
    <w:rsid w:val="00290043"/>
    <w:rsid w:val="00297EA9"/>
    <w:rsid w:val="002A4024"/>
    <w:rsid w:val="0034562D"/>
    <w:rsid w:val="00353B54"/>
    <w:rsid w:val="00355F84"/>
    <w:rsid w:val="00392FAE"/>
    <w:rsid w:val="003C5D22"/>
    <w:rsid w:val="003D191D"/>
    <w:rsid w:val="003E3716"/>
    <w:rsid w:val="00472E63"/>
    <w:rsid w:val="004C6ABA"/>
    <w:rsid w:val="004E1F37"/>
    <w:rsid w:val="004E25DB"/>
    <w:rsid w:val="004E68C6"/>
    <w:rsid w:val="00504649"/>
    <w:rsid w:val="0052046F"/>
    <w:rsid w:val="00523902"/>
    <w:rsid w:val="00526EF1"/>
    <w:rsid w:val="00541891"/>
    <w:rsid w:val="00574F65"/>
    <w:rsid w:val="005767D5"/>
    <w:rsid w:val="005D1136"/>
    <w:rsid w:val="00610726"/>
    <w:rsid w:val="006240E5"/>
    <w:rsid w:val="00625F59"/>
    <w:rsid w:val="0063335E"/>
    <w:rsid w:val="00634B15"/>
    <w:rsid w:val="00655B9F"/>
    <w:rsid w:val="006673AA"/>
    <w:rsid w:val="006720A2"/>
    <w:rsid w:val="006B2B53"/>
    <w:rsid w:val="006B31ED"/>
    <w:rsid w:val="006D508E"/>
    <w:rsid w:val="006F6881"/>
    <w:rsid w:val="007035AD"/>
    <w:rsid w:val="007062A1"/>
    <w:rsid w:val="00732640"/>
    <w:rsid w:val="00752546"/>
    <w:rsid w:val="00761C3A"/>
    <w:rsid w:val="00764EF0"/>
    <w:rsid w:val="0077457B"/>
    <w:rsid w:val="00774F52"/>
    <w:rsid w:val="007A0876"/>
    <w:rsid w:val="007A41BA"/>
    <w:rsid w:val="007B0D64"/>
    <w:rsid w:val="007B1C25"/>
    <w:rsid w:val="007B3865"/>
    <w:rsid w:val="007B47A8"/>
    <w:rsid w:val="007F39D0"/>
    <w:rsid w:val="008169EA"/>
    <w:rsid w:val="008364A4"/>
    <w:rsid w:val="008847C9"/>
    <w:rsid w:val="008B0B07"/>
    <w:rsid w:val="008E434F"/>
    <w:rsid w:val="008F0025"/>
    <w:rsid w:val="00903BC5"/>
    <w:rsid w:val="009223E7"/>
    <w:rsid w:val="00942345"/>
    <w:rsid w:val="00951332"/>
    <w:rsid w:val="009A27DA"/>
    <w:rsid w:val="009A51AF"/>
    <w:rsid w:val="009B127A"/>
    <w:rsid w:val="009B1A81"/>
    <w:rsid w:val="009C1960"/>
    <w:rsid w:val="009E6586"/>
    <w:rsid w:val="00A03EE6"/>
    <w:rsid w:val="00A47DE5"/>
    <w:rsid w:val="00A5186A"/>
    <w:rsid w:val="00A854AF"/>
    <w:rsid w:val="00AC41A5"/>
    <w:rsid w:val="00AC7B81"/>
    <w:rsid w:val="00AD6CB8"/>
    <w:rsid w:val="00B04999"/>
    <w:rsid w:val="00B223C9"/>
    <w:rsid w:val="00B31B02"/>
    <w:rsid w:val="00B35329"/>
    <w:rsid w:val="00B3590E"/>
    <w:rsid w:val="00B65AE3"/>
    <w:rsid w:val="00B71072"/>
    <w:rsid w:val="00B77774"/>
    <w:rsid w:val="00B96E52"/>
    <w:rsid w:val="00BB0F85"/>
    <w:rsid w:val="00C42CF8"/>
    <w:rsid w:val="00C64AD2"/>
    <w:rsid w:val="00CE7CA6"/>
    <w:rsid w:val="00D0421B"/>
    <w:rsid w:val="00D21902"/>
    <w:rsid w:val="00D255C3"/>
    <w:rsid w:val="00D4511A"/>
    <w:rsid w:val="00D900CB"/>
    <w:rsid w:val="00D92646"/>
    <w:rsid w:val="00E0228F"/>
    <w:rsid w:val="00E20363"/>
    <w:rsid w:val="00E25C90"/>
    <w:rsid w:val="00E25E4D"/>
    <w:rsid w:val="00E52622"/>
    <w:rsid w:val="00E61B53"/>
    <w:rsid w:val="00E7541D"/>
    <w:rsid w:val="00E84F28"/>
    <w:rsid w:val="00EA3FDB"/>
    <w:rsid w:val="00EA5992"/>
    <w:rsid w:val="00EB6973"/>
    <w:rsid w:val="00F033EF"/>
    <w:rsid w:val="00F03405"/>
    <w:rsid w:val="00F6763C"/>
    <w:rsid w:val="00F81659"/>
    <w:rsid w:val="00FA4B11"/>
    <w:rsid w:val="00FD1BA6"/>
    <w:rsid w:val="00FE014D"/>
    <w:rsid w:val="00FE23FC"/>
    <w:rsid w:val="00FE4F9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83009"/>
  <w15:docId w15:val="{079786B6-10D0-4A77-A661-4AB8A72AD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spacing w:after="200" w:line="276" w:lineRule="auto"/>
    </w:pPr>
  </w:style>
  <w:style w:type="paragraph" w:styleId="Heading2">
    <w:name w:val="heading 2"/>
    <w:basedOn w:val="Normal"/>
    <w:next w:val="Normal"/>
    <w:link w:val="Heading2Char"/>
    <w:uiPriority w:val="9"/>
    <w:unhideWhenUsed/>
    <w:qFormat/>
    <w:rsid w:val="003D191D"/>
    <w:pPr>
      <w:keepNext/>
      <w:keepLines/>
      <w:bidi w:val="0"/>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rPr>
      <w:vertAlign w:val="superscript"/>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000FF"/>
      <w:u w:val="single"/>
    </w:rPr>
  </w:style>
  <w:style w:type="paragraph" w:styleId="ListParagraph">
    <w:name w:val="List Paragraph"/>
    <w:basedOn w:val="Normal"/>
    <w:link w:val="ListParagraphChar"/>
    <w:uiPriority w:val="34"/>
    <w:qFormat/>
    <w:rsid w:val="00F033EF"/>
    <w:pPr>
      <w:ind w:left="720"/>
      <w:contextualSpacing/>
    </w:pPr>
    <w:rPr>
      <w:rFonts w:asciiTheme="minorHAnsi" w:eastAsia="Times New Roman" w:hAnsiTheme="minorHAnsi"/>
    </w:rPr>
  </w:style>
  <w:style w:type="character" w:customStyle="1" w:styleId="ListParagraphChar">
    <w:name w:val="List Paragraph Char"/>
    <w:link w:val="ListParagraph"/>
    <w:uiPriority w:val="34"/>
    <w:locked/>
    <w:rsid w:val="00AD6CB8"/>
    <w:rPr>
      <w:rFonts w:asciiTheme="minorHAnsi" w:eastAsia="Times New Roman" w:hAnsiTheme="minorHAnsi"/>
    </w:rPr>
  </w:style>
  <w:style w:type="character" w:customStyle="1" w:styleId="Heading2Char">
    <w:name w:val="Heading 2 Char"/>
    <w:basedOn w:val="DefaultParagraphFont"/>
    <w:link w:val="Heading2"/>
    <w:uiPriority w:val="9"/>
    <w:rsid w:val="003D191D"/>
    <w:rPr>
      <w:rFonts w:asciiTheme="majorHAnsi" w:eastAsiaTheme="majorEastAsia" w:hAnsiTheme="majorHAnsi" w:cstheme="majorBidi"/>
      <w:b/>
      <w:bCs/>
      <w:color w:val="4472C4" w:themeColor="accent1"/>
      <w:sz w:val="26"/>
      <w:szCs w:val="26"/>
    </w:rPr>
  </w:style>
  <w:style w:type="character" w:styleId="LineNumber">
    <w:name w:val="line number"/>
    <w:basedOn w:val="DefaultParagraphFont"/>
    <w:uiPriority w:val="99"/>
    <w:semiHidden/>
    <w:unhideWhenUsed/>
    <w:rsid w:val="00285E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znazzal@najah.edu"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cd:customData xmlns="http://www.wps.com/android/officeDocument/2013/mofficeCustomData" xmlns:mcd="http://www.wps.com/android/officeDocument/2013/mofficeCustomData" version="2">
  <mcd:comments/>
</mcd:customData>
</file>

<file path=customXml/item2.xml><?xml version="1.0" encoding="utf-8"?>
<mcd:customData xmlns="http://www.wps.com/android/officeDocument/2013/mofficeCustomData" xmlns:mcd="http://www.wps.com/android/officeDocument/2013/mofficeCustomData" version="2">
  <mcd:comments/>
</mcd:customData>
</file>

<file path=customXml/item3.xml><?xml version="1.0" encoding="utf-8"?>
<mcd:customData xmlns="http://www.wps.com/android/officeDocument/2013/mofficeCustomData" xmlns:mcd="http://www.wps.com/android/officeDocument/2013/mofficeCustomData" version="2">
  <mcd:comments/>
</mcd:customData>
</file>

<file path=customXml/item4.xml><?xml version="1.0" encoding="utf-8"?>
<mcd:customData xmlns="http://www.wps.com/android/officeDocument/2013/mofficeCustomData" xmlns:mcd="http://www.wps.com/android/officeDocument/2013/mofficeCustomData" version="2">
  <mcd:comments/>
</mcd:customData>
</file>

<file path=customXml/item5.xml><?xml version="1.0" encoding="utf-8"?>
<mcd:customData xmlns="http://www.wps.com/android/officeDocument/2013/mofficeCustomData" xmlns:mcd="http://www.wps.com/android/officeDocument/2013/mofficeCustomData" version="2">
  <mcd:comments/>
</mcd:customDat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B1F0DD-5C69-4916-ADA5-67EBC399FF02}">
  <ds:schemaRefs>
    <ds:schemaRef ds:uri="http://www.wps.com/android/officeDocument/2013/mofficeCustomData"/>
  </ds:schemaRefs>
</ds:datastoreItem>
</file>

<file path=customXml/itemProps2.xml><?xml version="1.0" encoding="utf-8"?>
<ds:datastoreItem xmlns:ds="http://schemas.openxmlformats.org/officeDocument/2006/customXml" ds:itemID="{F5FB02C5-430F-4CD6-A553-A2F682A80C3A}">
  <ds:schemaRefs>
    <ds:schemaRef ds:uri="http://www.wps.com/android/officeDocument/2013/mofficeCustomData"/>
  </ds:schemaRefs>
</ds:datastoreItem>
</file>

<file path=customXml/itemProps3.xml><?xml version="1.0" encoding="utf-8"?>
<ds:datastoreItem xmlns:ds="http://schemas.openxmlformats.org/officeDocument/2006/customXml" ds:itemID="{7B3C3EC6-E53F-40B4-9266-A3CFE736FF30}">
  <ds:schemaRefs>
    <ds:schemaRef ds:uri="http://www.wps.com/android/officeDocument/2013/mofficeCustomData"/>
  </ds:schemaRefs>
</ds:datastoreItem>
</file>

<file path=customXml/itemProps4.xml><?xml version="1.0" encoding="utf-8"?>
<ds:datastoreItem xmlns:ds="http://schemas.openxmlformats.org/officeDocument/2006/customXml" ds:itemID="{4104BB2B-8E0C-4971-A1A7-018EBC70057C}">
  <ds:schemaRefs>
    <ds:schemaRef ds:uri="http://www.wps.com/android/officeDocument/2013/mofficeCustomData"/>
  </ds:schemaRefs>
</ds:datastoreItem>
</file>

<file path=customXml/itemProps5.xml><?xml version="1.0" encoding="utf-8"?>
<ds:datastoreItem xmlns:ds="http://schemas.openxmlformats.org/officeDocument/2006/customXml" ds:itemID="{62DA93A3-DE9A-4DAD-929A-8ACCF73E7AAF}">
  <ds:schemaRefs>
    <ds:schemaRef ds:uri="http://www.wps.com/android/officeDocument/2013/mofficeCustomData"/>
  </ds:schemaRefs>
</ds:datastoreItem>
</file>

<file path=customXml/itemProps6.xml><?xml version="1.0" encoding="utf-8"?>
<ds:datastoreItem xmlns:ds="http://schemas.openxmlformats.org/officeDocument/2006/customXml" ds:itemID="{B16C1F52-4A10-4459-B76F-2E3057CED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374</Words>
  <Characters>2135</Characters>
  <Application>Microsoft Office Word</Application>
  <DocSecurity>0</DocSecurity>
  <Lines>17</Lines>
  <Paragraphs>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Hewlett-Packard Company</Company>
  <LinksUpToDate>false</LinksUpToDate>
  <CharactersWithSpaces>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DR-Besan</dc:creator>
  <cp:lastModifiedBy>Zaher Nazzal</cp:lastModifiedBy>
  <cp:revision>2</cp:revision>
  <dcterms:created xsi:type="dcterms:W3CDTF">2021-09-14T14:05:00Z</dcterms:created>
  <dcterms:modified xsi:type="dcterms:W3CDTF">2021-09-14T14:05:00Z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http://www.zotero.org/styles/vaccine</vt:lpwstr>
  </property>
  <property fmtid="{D5CDD505-2E9C-101B-9397-08002B2CF9AE}" pid="3" name="Mendeley Document_1">
    <vt:lpwstr>True</vt:lpwstr>
  </property>
  <property fmtid="{D5CDD505-2E9C-101B-9397-08002B2CF9AE}" pid="4" name="Mendeley Recent Style Id 0_1">
    <vt:lpwstr>http://www.zotero.org/styles/american-journal-of-ophthalmology</vt:lpwstr>
  </property>
  <property fmtid="{D5CDD505-2E9C-101B-9397-08002B2CF9AE}" pid="5" name="Mendeley Recent Style Id 1_1">
    <vt:lpwstr>http://www.zotero.org/styles/american-medical-association</vt:lpwstr>
  </property>
  <property fmtid="{D5CDD505-2E9C-101B-9397-08002B2CF9AE}" pid="6" name="Mendeley Recent Style Id 2_1">
    <vt:lpwstr>http://www.zotero.org/styles/apa</vt:lpwstr>
  </property>
  <property fmtid="{D5CDD505-2E9C-101B-9397-08002B2CF9AE}" pid="7" name="Mendeley Recent Style Id 3_1">
    <vt:lpwstr>http://www.zotero.org/styles/ieee</vt:lpwstr>
  </property>
  <property fmtid="{D5CDD505-2E9C-101B-9397-08002B2CF9AE}" pid="8" name="Mendeley Recent Style Id 4_1">
    <vt:lpwstr>http://www.zotero.org/styles/journal-of-infection-and-public-health</vt:lpwstr>
  </property>
  <property fmtid="{D5CDD505-2E9C-101B-9397-08002B2CF9AE}" pid="9" name="Mendeley Recent Style Id 5_1">
    <vt:lpwstr>http://www.zotero.org/styles/nature</vt:lpwstr>
  </property>
  <property fmtid="{D5CDD505-2E9C-101B-9397-08002B2CF9AE}" pid="10" name="Mendeley Recent Style Id 6_1">
    <vt:lpwstr>http://www.zotero.org/styles/sage-vancouver-brackets</vt:lpwstr>
  </property>
  <property fmtid="{D5CDD505-2E9C-101B-9397-08002B2CF9AE}" pid="11" name="Mendeley Recent Style Id 7_1">
    <vt:lpwstr>http://www.zotero.org/styles/vaccine</vt:lpwstr>
  </property>
  <property fmtid="{D5CDD505-2E9C-101B-9397-08002B2CF9AE}" pid="12" name="Mendeley Recent Style Id 8_1">
    <vt:lpwstr>http://www.zotero.org/styles/vancouver</vt:lpwstr>
  </property>
  <property fmtid="{D5CDD505-2E9C-101B-9397-08002B2CF9AE}" pid="13" name="Mendeley Recent Style Id 9_1">
    <vt:lpwstr>http://www.zotero.org/styles/vancouver-superscript</vt:lpwstr>
  </property>
  <property fmtid="{D5CDD505-2E9C-101B-9397-08002B2CF9AE}" pid="14" name="Mendeley Recent Style Name 0_1">
    <vt:lpwstr>American Journal of Ophthalmology</vt:lpwstr>
  </property>
  <property fmtid="{D5CDD505-2E9C-101B-9397-08002B2CF9AE}" pid="15" name="Mendeley Recent Style Name 1_1">
    <vt:lpwstr>American Medical Association 11th edition</vt:lpwstr>
  </property>
  <property fmtid="{D5CDD505-2E9C-101B-9397-08002B2CF9AE}" pid="16" name="Mendeley Recent Style Name 2_1">
    <vt:lpwstr>American Psychological Association 7th edition</vt:lpwstr>
  </property>
  <property fmtid="{D5CDD505-2E9C-101B-9397-08002B2CF9AE}" pid="17" name="Mendeley Recent Style Name 3_1">
    <vt:lpwstr>IEEE</vt:lpwstr>
  </property>
  <property fmtid="{D5CDD505-2E9C-101B-9397-08002B2CF9AE}" pid="18" name="Mendeley Recent Style Name 4_1">
    <vt:lpwstr>Journal of Infection and Public Health</vt:lpwstr>
  </property>
  <property fmtid="{D5CDD505-2E9C-101B-9397-08002B2CF9AE}" pid="19" name="Mendeley Recent Style Name 5_1">
    <vt:lpwstr>Nature</vt:lpwstr>
  </property>
  <property fmtid="{D5CDD505-2E9C-101B-9397-08002B2CF9AE}" pid="20" name="Mendeley Recent Style Name 6_1">
    <vt:lpwstr>SAGE - Vancouver (brackets)</vt:lpwstr>
  </property>
  <property fmtid="{D5CDD505-2E9C-101B-9397-08002B2CF9AE}" pid="21" name="Mendeley Recent Style Name 7_1">
    <vt:lpwstr>Vaccine</vt:lpwstr>
  </property>
  <property fmtid="{D5CDD505-2E9C-101B-9397-08002B2CF9AE}" pid="22" name="Mendeley Recent Style Name 8_1">
    <vt:lpwstr>Vancouver</vt:lpwstr>
  </property>
  <property fmtid="{D5CDD505-2E9C-101B-9397-08002B2CF9AE}" pid="23" name="Mendeley Recent Style Name 9_1">
    <vt:lpwstr>Vancouver (superscript)</vt:lpwstr>
  </property>
  <property fmtid="{D5CDD505-2E9C-101B-9397-08002B2CF9AE}" pid="24" name="Mendeley Unique User Id_1">
    <vt:lpwstr>69a13f1d-11cd-342e-97d1-9d1a6cb04ea3</vt:lpwstr>
  </property>
</Properties>
</file>