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BA5820" w:rsidRDefault="00925382" w:rsidP="00494130">
      <w:pPr>
        <w:pStyle w:val="Ttulo1"/>
        <w:spacing w:before="170"/>
        <w:ind w:left="0"/>
        <w:rPr>
          <w:lang w:val="en-US"/>
        </w:rPr>
      </w:pPr>
      <w:r w:rsidRPr="00925382">
        <w:rPr>
          <w:color w:val="337AB7"/>
          <w:lang w:val="en-GB"/>
        </w:rPr>
        <w:t xml:space="preserve">Guillain-Barré syndrome </w:t>
      </w:r>
      <w:r>
        <w:rPr>
          <w:color w:val="337AB7"/>
          <w:lang w:val="en-GB"/>
        </w:rPr>
        <w:t>in</w:t>
      </w:r>
      <w:r w:rsidRPr="00925382">
        <w:rPr>
          <w:color w:val="337AB7"/>
          <w:lang w:val="en-GB"/>
        </w:rPr>
        <w:t xml:space="preserve"> recipients of the BNT162b2 mRNA COVID-19 vaccine</w:t>
      </w:r>
      <w:r>
        <w:rPr>
          <w:color w:val="337AB7"/>
          <w:lang w:val="en-GB"/>
        </w:rPr>
        <w:t>: a nationwide observational study</w:t>
      </w:r>
      <w:bookmarkStart w:id="0" w:name="_GoBack"/>
      <w:bookmarkEnd w:id="0"/>
    </w:p>
    <w:p w:rsidR="00AE3E37" w:rsidRPr="00BA5820" w:rsidRDefault="00E82928" w:rsidP="00AF2E27">
      <w:pPr>
        <w:pStyle w:val="Textoindependiente"/>
        <w:rPr>
          <w:rFonts w:ascii="Arial"/>
          <w:sz w:val="20"/>
          <w:lang w:val="en-US"/>
        </w:rPr>
        <w:sectPr w:rsidR="00AE3E37" w:rsidRPr="00BA5820">
          <w:headerReference w:type="default" r:id="rId8"/>
          <w:footerReference w:type="default" r:id="rId9"/>
          <w:type w:val="continuous"/>
          <w:pgSz w:w="11910" w:h="16840"/>
          <w:pgMar w:top="1740" w:right="600" w:bottom="840" w:left="620" w:header="541" w:footer="642" w:gutter="0"/>
          <w:cols w:space="720"/>
        </w:sectPr>
      </w:pPr>
      <w:r w:rsidRPr="00BA5820">
        <w:rPr>
          <w:color w:val="000000" w:themeColor="text1"/>
          <w:lang w:val="en-US"/>
        </w:rPr>
        <w:t xml:space="preserve">Miguel García-Grimshaw, Santa Elizabeth Ceballos-Liceaga, Gustavo Reyes-Terán, Antonio Arauz, and </w:t>
      </w:r>
      <w:r w:rsidRPr="00BA5820">
        <w:rPr>
          <w:color w:val="000000" w:themeColor="text1"/>
          <w:u w:val="single"/>
          <w:lang w:val="en-US"/>
        </w:rPr>
        <w:t>Sergio Iván Valdés-Ferrer</w:t>
      </w:r>
      <w:r w:rsidRPr="00BA5820">
        <w:rPr>
          <w:color w:val="000000" w:themeColor="text1"/>
          <w:lang w:val="en-US"/>
        </w:rPr>
        <w:t xml:space="preserve">, </w:t>
      </w:r>
      <w:r w:rsidRPr="00BA5820">
        <w:rPr>
          <w:color w:val="000000" w:themeColor="text1"/>
          <w:lang w:val="en-US"/>
        </w:rPr>
        <w:t>on behalf of the Mexican COVID-19 vaccines adverse events surveillance group (</w:t>
      </w:r>
      <w:r w:rsidRPr="00BA5820">
        <w:rPr>
          <w:b/>
          <w:color w:val="000000" w:themeColor="text1"/>
          <w:lang w:val="en-US"/>
        </w:rPr>
        <w:t>MexCOVae</w:t>
      </w:r>
      <w:r w:rsidRPr="00BA5820">
        <w:rPr>
          <w:color w:val="000000" w:themeColor="text1"/>
          <w:lang w:val="en-US"/>
        </w:rPr>
        <w:t>)</w:t>
      </w:r>
    </w:p>
    <w:p w:rsidR="00AE3E37" w:rsidRPr="00BA5820" w:rsidRDefault="00A9710C">
      <w:pPr>
        <w:pStyle w:val="Ttulo3"/>
        <w:spacing w:before="147"/>
        <w:jc w:val="both"/>
        <w:rPr>
          <w:lang w:val="en-US"/>
        </w:rPr>
      </w:pPr>
      <w:r w:rsidRPr="00BA5820">
        <w:rPr>
          <w:color w:val="BF5A14"/>
          <w:lang w:val="en-US"/>
        </w:rPr>
        <w:t>Abstract</w:t>
      </w:r>
    </w:p>
    <w:p w:rsidR="00AE3E37" w:rsidRPr="00BA5820" w:rsidRDefault="00925382" w:rsidP="00E82928">
      <w:pPr>
        <w:pStyle w:val="Textoindependiente"/>
        <w:spacing w:before="90" w:line="280" w:lineRule="auto"/>
        <w:ind w:left="100"/>
        <w:jc w:val="both"/>
        <w:rPr>
          <w:sz w:val="22"/>
          <w:lang w:val="en-US"/>
        </w:rPr>
      </w:pPr>
      <w:r w:rsidRPr="00925382">
        <w:rPr>
          <w:sz w:val="22"/>
          <w:lang w:val="en-US"/>
        </w:rPr>
        <w:t>Vaccines are the most effective strategy to mitigate the global impact of COVID-19. However, vaccine hesitancy is common, particularly among minorities. Guillain-Barré syndrome (GBS) is the most common autoimmune illness of the peripheral nervous system, occurring at an incidence of 1.1/100,000 worldwide. A causal link between mRNA vaccines and GBS has not been previously evaluated. We analyzed a cohort of 3,890,250 Hispanic/Latinx recipients of the BNT162b2 mRNA vaccine (613,780 of whom had already received both doses) for incident GBS occurring within 30 days from vaccine administration. Seven cases of GBS were detected among first-dose recipients, for an observed incidence of 0.18/100,000 administered doses during the prespecified timeframe of 30 days. No cases were reported after second-dose administration. Our data suggest that, among recipients of the BNT162b2 mRNA vaccine, GBS may occur at the expected community-based rate; however, this should be taken with caution as the current incidence of GBS among the unvaccinated population against COVID-19 is still undetermined. We hope that this preliminary data will increase the public perception of safety toward mRNA-based vaccines and reduce vaccine hesitancy.</w:t>
      </w:r>
    </w:p>
    <w:p w:rsidR="00AF2E27" w:rsidRPr="00BA5820" w:rsidRDefault="00AF2E27" w:rsidP="00E82928">
      <w:pPr>
        <w:pStyle w:val="Textoindependiente"/>
        <w:spacing w:before="90" w:line="280" w:lineRule="auto"/>
        <w:ind w:left="100"/>
        <w:jc w:val="both"/>
        <w:rPr>
          <w:lang w:val="en-US"/>
        </w:rPr>
      </w:pPr>
    </w:p>
    <w:p w:rsidR="00AF2E27" w:rsidRPr="00BA5820" w:rsidRDefault="00AF2E27" w:rsidP="00AF2E27">
      <w:pPr>
        <w:pStyle w:val="Textoindependiente"/>
        <w:spacing w:before="90" w:line="280" w:lineRule="auto"/>
        <w:ind w:left="100"/>
        <w:jc w:val="both"/>
        <w:rPr>
          <w:rFonts w:ascii="Arial" w:hAnsi="Arial" w:cs="Arial"/>
          <w:b/>
          <w:color w:val="BF5A14"/>
          <w:sz w:val="20"/>
          <w:szCs w:val="20"/>
          <w:lang w:val="en-US"/>
        </w:rPr>
      </w:pPr>
    </w:p>
    <w:p w:rsidR="00AF2E27" w:rsidRPr="00BA5820" w:rsidRDefault="00A9710C" w:rsidP="00AF2E27">
      <w:pPr>
        <w:pStyle w:val="Ttulo3"/>
        <w:spacing w:before="74"/>
        <w:rPr>
          <w:color w:val="BF5A14"/>
          <w:lang w:val="en-US"/>
        </w:rPr>
      </w:pPr>
      <w:r w:rsidRPr="00BA5820">
        <w:rPr>
          <w:b w:val="0"/>
          <w:lang w:val="en-US"/>
        </w:rPr>
        <w:br w:type="column"/>
      </w:r>
    </w:p>
    <w:p w:rsidR="00AE3E37" w:rsidRPr="00BA5820" w:rsidRDefault="00AE3E37">
      <w:pPr>
        <w:pStyle w:val="Textoindependiente"/>
        <w:spacing w:before="2"/>
        <w:rPr>
          <w:rFonts w:ascii="Arial"/>
          <w:b/>
          <w:sz w:val="16"/>
          <w:lang w:val="en-US"/>
        </w:rPr>
      </w:pPr>
    </w:p>
    <w:p w:rsidR="005973B9" w:rsidRPr="00BA5820" w:rsidRDefault="005973B9" w:rsidP="005973B9">
      <w:pPr>
        <w:spacing w:line="204" w:lineRule="exact"/>
        <w:rPr>
          <w:rFonts w:ascii="Arial"/>
          <w:b/>
          <w:sz w:val="20"/>
          <w:lang w:val="en-US"/>
        </w:rPr>
      </w:pPr>
      <w:r w:rsidRPr="00BA5820">
        <w:rPr>
          <w:rFonts w:ascii="Arial"/>
          <w:b/>
          <w:color w:val="BF5A14"/>
          <w:sz w:val="20"/>
          <w:lang w:val="en-US"/>
        </w:rPr>
        <w:br/>
        <w:t>Recent Publications</w:t>
      </w:r>
    </w:p>
    <w:p w:rsidR="007D2AB7" w:rsidRPr="00BA5820" w:rsidRDefault="007D2AB7" w:rsidP="007D2AB7">
      <w:pPr>
        <w:pStyle w:val="Prrafodelista"/>
        <w:numPr>
          <w:ilvl w:val="0"/>
          <w:numId w:val="3"/>
        </w:numPr>
        <w:tabs>
          <w:tab w:val="left" w:pos="384"/>
        </w:tabs>
        <w:spacing w:line="216" w:lineRule="exact"/>
        <w:ind w:left="386" w:right="136"/>
        <w:contextualSpacing/>
        <w:rPr>
          <w:sz w:val="18"/>
          <w:szCs w:val="22"/>
          <w:lang w:val="en-US" w:eastAsia="en-US"/>
        </w:rPr>
      </w:pPr>
      <w:r w:rsidRPr="00BA5820">
        <w:rPr>
          <w:sz w:val="18"/>
          <w:szCs w:val="22"/>
          <w:lang w:val="en-US" w:eastAsia="en-US"/>
        </w:rPr>
        <w:t>García-Grimshaw M</w:t>
      </w:r>
      <w:r w:rsidRPr="00BA5820">
        <w:rPr>
          <w:sz w:val="18"/>
          <w:lang w:val="en-US"/>
        </w:rPr>
        <w:t xml:space="preserve">, et al. </w:t>
      </w:r>
      <w:hyperlink r:id="rId10" w:history="1">
        <w:r w:rsidRPr="00BA5820">
          <w:rPr>
            <w:rStyle w:val="Hipervnculo"/>
            <w:sz w:val="18"/>
            <w:lang w:val="en-US" w:eastAsia="en-US"/>
          </w:rPr>
          <w:t>Guillain-Barré syndrome is infrequent among recipients of the BNT162b2 mRNA COVID-19 vaccine.</w:t>
        </w:r>
      </w:hyperlink>
      <w:r w:rsidRPr="00BA5820">
        <w:rPr>
          <w:sz w:val="18"/>
          <w:lang w:val="en-US"/>
        </w:rPr>
        <w:t xml:space="preserve"> </w:t>
      </w:r>
      <w:r w:rsidRPr="00BA5820">
        <w:rPr>
          <w:sz w:val="18"/>
          <w:szCs w:val="22"/>
          <w:lang w:val="en-US" w:eastAsia="en-US"/>
        </w:rPr>
        <w:t>Clin Immunol. 2021 Aug 4;230:108818. doi: 10.1016/j.clim.2021.108818</w:t>
      </w:r>
    </w:p>
    <w:p w:rsidR="007D2AB7" w:rsidRPr="00BA5820" w:rsidRDefault="007D2AB7" w:rsidP="007D2AB7">
      <w:pPr>
        <w:pStyle w:val="Prrafodelista"/>
        <w:numPr>
          <w:ilvl w:val="0"/>
          <w:numId w:val="3"/>
        </w:numPr>
        <w:tabs>
          <w:tab w:val="left" w:pos="384"/>
        </w:tabs>
        <w:spacing w:line="216" w:lineRule="exact"/>
        <w:ind w:left="386" w:right="136"/>
        <w:contextualSpacing/>
        <w:rPr>
          <w:sz w:val="18"/>
          <w:lang w:val="en-US"/>
        </w:rPr>
      </w:pPr>
      <w:r w:rsidRPr="00BA5820">
        <w:rPr>
          <w:sz w:val="18"/>
          <w:szCs w:val="22"/>
          <w:lang w:val="en-US" w:eastAsia="en-US"/>
        </w:rPr>
        <w:t>García-Grimshaw M</w:t>
      </w:r>
      <w:r w:rsidRPr="00BA5820">
        <w:rPr>
          <w:sz w:val="18"/>
          <w:lang w:val="en-US"/>
        </w:rPr>
        <w:t>,</w:t>
      </w:r>
      <w:r w:rsidRPr="00BA5820">
        <w:rPr>
          <w:sz w:val="18"/>
          <w:lang w:val="en-US"/>
        </w:rPr>
        <w:t xml:space="preserve"> et al. </w:t>
      </w:r>
      <w:r w:rsidRPr="00BA5820">
        <w:rPr>
          <w:sz w:val="18"/>
          <w:lang w:val="en-US"/>
        </w:rPr>
        <w:t xml:space="preserve"> </w:t>
      </w:r>
      <w:hyperlink r:id="rId11" w:history="1">
        <w:r w:rsidRPr="00BA5820">
          <w:rPr>
            <w:rStyle w:val="Hipervnculo"/>
            <w:sz w:val="18"/>
            <w:lang w:val="en-US" w:eastAsia="en-US"/>
          </w:rPr>
          <w:t>Neurologic adverse events among 704,003 first-dose recipients of the BNT162b2 mRNA COVID-19 vaccine in Mexico: A nationwide descriptive study.</w:t>
        </w:r>
      </w:hyperlink>
      <w:r w:rsidRPr="00BA5820">
        <w:rPr>
          <w:sz w:val="18"/>
          <w:lang w:val="en-US"/>
        </w:rPr>
        <w:t xml:space="preserve"> </w:t>
      </w:r>
      <w:r w:rsidRPr="00BA5820">
        <w:rPr>
          <w:sz w:val="18"/>
          <w:szCs w:val="22"/>
          <w:lang w:val="en-US" w:eastAsia="en-US"/>
        </w:rPr>
        <w:t>Clin Immunol. 2021 Aug;229:108786. doi: 10.1016/j.clim.2021.108786.</w:t>
      </w:r>
    </w:p>
    <w:p w:rsidR="007D2AB7" w:rsidRPr="00BA5820" w:rsidRDefault="007D2AB7" w:rsidP="007D2AB7">
      <w:pPr>
        <w:pStyle w:val="Prrafodelista"/>
        <w:numPr>
          <w:ilvl w:val="0"/>
          <w:numId w:val="3"/>
        </w:numPr>
        <w:tabs>
          <w:tab w:val="left" w:pos="384"/>
        </w:tabs>
        <w:spacing w:line="216" w:lineRule="exact"/>
        <w:ind w:left="386" w:right="136"/>
        <w:contextualSpacing/>
        <w:rPr>
          <w:sz w:val="18"/>
          <w:szCs w:val="22"/>
          <w:lang w:val="en-US" w:eastAsia="en-US"/>
        </w:rPr>
      </w:pPr>
      <w:r w:rsidRPr="00BA5820">
        <w:rPr>
          <w:sz w:val="18"/>
          <w:lang w:val="en-US"/>
        </w:rPr>
        <w:t xml:space="preserve">Flores-Silva, et al. </w:t>
      </w:r>
      <w:hyperlink r:id="rId12" w:history="1">
        <w:r w:rsidRPr="00BA5820">
          <w:rPr>
            <w:rStyle w:val="Hipervnculo"/>
            <w:sz w:val="18"/>
            <w:lang w:val="en-US" w:eastAsia="en-US"/>
          </w:rPr>
          <w:t>Neurologic manifestations in hospitalized patients with COVID-19 in Mexico City.</w:t>
        </w:r>
      </w:hyperlink>
      <w:r w:rsidRPr="00BA5820">
        <w:rPr>
          <w:sz w:val="18"/>
          <w:lang w:val="en-US"/>
        </w:rPr>
        <w:t xml:space="preserve"> </w:t>
      </w:r>
      <w:r w:rsidRPr="00BA5820">
        <w:rPr>
          <w:sz w:val="18"/>
          <w:szCs w:val="22"/>
          <w:lang w:val="en-US" w:eastAsia="en-US"/>
        </w:rPr>
        <w:t>PLoS One. 2021 Apr 8;16(4):e0247433. doi: 10.1371/journal.pone.0247433</w:t>
      </w:r>
    </w:p>
    <w:p w:rsidR="007D2AB7" w:rsidRPr="00BA5820" w:rsidRDefault="007D2AB7" w:rsidP="007D2AB7">
      <w:pPr>
        <w:pStyle w:val="Prrafodelista"/>
        <w:numPr>
          <w:ilvl w:val="0"/>
          <w:numId w:val="3"/>
        </w:numPr>
        <w:tabs>
          <w:tab w:val="left" w:pos="384"/>
        </w:tabs>
        <w:spacing w:line="216" w:lineRule="exact"/>
        <w:ind w:left="386" w:right="136"/>
        <w:contextualSpacing/>
        <w:rPr>
          <w:sz w:val="18"/>
          <w:szCs w:val="22"/>
          <w:lang w:val="en-US" w:eastAsia="en-US"/>
        </w:rPr>
      </w:pPr>
      <w:r w:rsidRPr="00BA5820">
        <w:rPr>
          <w:sz w:val="18"/>
          <w:szCs w:val="22"/>
          <w:lang w:val="en-US" w:eastAsia="en-US"/>
        </w:rPr>
        <w:t> </w:t>
      </w:r>
      <w:r w:rsidRPr="00BA5820">
        <w:rPr>
          <w:sz w:val="18"/>
          <w:lang w:val="en-US"/>
        </w:rPr>
        <w:t xml:space="preserve">Nuñes I, et al. </w:t>
      </w:r>
      <w:hyperlink r:id="rId13" w:history="1">
        <w:r w:rsidRPr="00BA5820">
          <w:rPr>
            <w:rStyle w:val="Hipervnculo"/>
            <w:sz w:val="18"/>
            <w:lang w:val="en-US" w:eastAsia="en-US"/>
          </w:rPr>
          <w:t>Common hematological values predict unfavorable outcomes in hospitalized COVID-19 patients.</w:t>
        </w:r>
      </w:hyperlink>
      <w:r w:rsidRPr="00BA5820">
        <w:rPr>
          <w:sz w:val="18"/>
          <w:lang w:val="en-US"/>
        </w:rPr>
        <w:t xml:space="preserve"> </w:t>
      </w:r>
      <w:r w:rsidRPr="00BA5820">
        <w:rPr>
          <w:sz w:val="18"/>
          <w:szCs w:val="22"/>
          <w:lang w:val="en-US" w:eastAsia="en-US"/>
        </w:rPr>
        <w:t>Clin Immunol. 2021 Apr;225:108682. doi: 10.1016/j.clim.2021.108682</w:t>
      </w:r>
    </w:p>
    <w:p w:rsidR="007D2AB7" w:rsidRPr="00BA5820" w:rsidRDefault="007D2AB7" w:rsidP="007D2AB7">
      <w:pPr>
        <w:pStyle w:val="Prrafodelista"/>
        <w:numPr>
          <w:ilvl w:val="0"/>
          <w:numId w:val="3"/>
        </w:numPr>
        <w:tabs>
          <w:tab w:val="left" w:pos="384"/>
        </w:tabs>
        <w:spacing w:line="216" w:lineRule="exact"/>
        <w:ind w:left="386" w:right="136"/>
        <w:contextualSpacing/>
        <w:rPr>
          <w:sz w:val="18"/>
          <w:lang w:val="en-US"/>
        </w:rPr>
      </w:pPr>
      <w:r w:rsidRPr="00BA5820">
        <w:rPr>
          <w:sz w:val="18"/>
          <w:lang w:val="en-US"/>
        </w:rPr>
        <w:t xml:space="preserve">Fragoso-Saavedra, et al. </w:t>
      </w:r>
      <w:hyperlink r:id="rId14" w:history="1">
        <w:r w:rsidRPr="00BA5820">
          <w:rPr>
            <w:rStyle w:val="Hipervnculo"/>
            <w:sz w:val="18"/>
            <w:lang w:val="en-US" w:eastAsia="en-US"/>
          </w:rPr>
          <w:t>A parallel-group, multicenter randomized, double-blinded, placebo-controlled, phase 2/3, clinical trial to test the efficacy of pyridostigmine bromide at low doses to reduce mortality or invasive mechanical ventilation in adults with severe SARS-CoV-2 infection: the Pyridostigmine In Severe COvid-19 (PISCO) trial protocol.</w:t>
        </w:r>
      </w:hyperlink>
      <w:r w:rsidRPr="00BA5820">
        <w:rPr>
          <w:sz w:val="18"/>
          <w:lang w:val="en-US"/>
        </w:rPr>
        <w:t xml:space="preserve"> </w:t>
      </w:r>
      <w:r w:rsidRPr="00BA5820">
        <w:rPr>
          <w:sz w:val="18"/>
          <w:szCs w:val="22"/>
          <w:lang w:val="en-US" w:eastAsia="en-US"/>
        </w:rPr>
        <w:t>BMC Infect Dis. 2020 Oct 16;20(1):765. doi: 10.1186/s12879-020-05485-7</w:t>
      </w:r>
    </w:p>
    <w:p w:rsidR="00AE3E37" w:rsidRPr="00BA5820" w:rsidRDefault="00AE3E37" w:rsidP="008756E6">
      <w:pPr>
        <w:tabs>
          <w:tab w:val="left" w:pos="384"/>
        </w:tabs>
        <w:ind w:right="117"/>
        <w:rPr>
          <w:lang w:val="en-US"/>
        </w:rPr>
      </w:pPr>
    </w:p>
    <w:p w:rsidR="00AE3E37" w:rsidRPr="00BA5820" w:rsidRDefault="00AE3E37">
      <w:pPr>
        <w:spacing w:line="200" w:lineRule="exact"/>
        <w:jc w:val="both"/>
        <w:rPr>
          <w:rFonts w:ascii="Calibri" w:hAnsi="Calibri"/>
          <w:lang w:val="en-US"/>
        </w:rPr>
        <w:sectPr w:rsidR="00AE3E37" w:rsidRPr="00BA5820">
          <w:type w:val="continuous"/>
          <w:pgSz w:w="11910" w:h="16840"/>
          <w:pgMar w:top="1740" w:right="600" w:bottom="840" w:left="620" w:header="720" w:footer="720" w:gutter="0"/>
          <w:cols w:num="2" w:space="720" w:equalWidth="0">
            <w:col w:w="5214" w:space="138"/>
            <w:col w:w="5338"/>
          </w:cols>
        </w:sectPr>
      </w:pPr>
    </w:p>
    <w:p w:rsidR="00AE3E37" w:rsidRPr="00BA5820" w:rsidRDefault="00292ED9">
      <w:pPr>
        <w:pStyle w:val="Textoindependiente"/>
        <w:spacing w:line="40" w:lineRule="exact"/>
        <w:ind w:left="2202"/>
        <w:rPr>
          <w:rFonts w:ascii="Calibri"/>
          <w:sz w:val="4"/>
          <w:lang w:val="en-US"/>
        </w:rPr>
      </w:pPr>
      <w:r w:rsidRPr="00BA5820">
        <w:rPr>
          <w:rFonts w:ascii="Calibri"/>
          <w:noProof/>
          <w:sz w:val="4"/>
          <w:lang w:val="en-US"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CB7D2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Pr="00BA5820" w:rsidRDefault="00A9710C" w:rsidP="00404E5B">
      <w:pPr>
        <w:spacing w:before="92"/>
        <w:ind w:right="4234"/>
        <w:rPr>
          <w:rFonts w:ascii="Arial"/>
          <w:lang w:val="en-US"/>
        </w:rPr>
      </w:pPr>
      <w:r w:rsidRPr="00BA5820">
        <w:rPr>
          <w:rFonts w:ascii="Arial"/>
          <w:color w:val="BF5A14"/>
          <w:lang w:val="en-US"/>
        </w:rPr>
        <w:t>Biography</w:t>
      </w:r>
    </w:p>
    <w:p w:rsidR="00AE3E37" w:rsidRPr="00BA5820" w:rsidRDefault="00BA5820" w:rsidP="00423D61">
      <w:pPr>
        <w:spacing w:before="41" w:line="154" w:lineRule="exact"/>
        <w:ind w:left="213" w:right="231"/>
        <w:jc w:val="both"/>
        <w:rPr>
          <w:rFonts w:ascii="Arial"/>
          <w:sz w:val="14"/>
          <w:lang w:val="en-US"/>
        </w:rPr>
      </w:pPr>
      <w:r w:rsidRPr="00BA5820">
        <w:rPr>
          <w:rFonts w:ascii="Arial"/>
          <w:sz w:val="14"/>
          <w:lang w:val="en-US"/>
        </w:rPr>
        <w:t>Dr</w:t>
      </w:r>
      <w:r>
        <w:rPr>
          <w:rFonts w:ascii="Arial"/>
          <w:sz w:val="14"/>
          <w:lang w:val="en-US"/>
        </w:rPr>
        <w:t>.</w:t>
      </w:r>
      <w:r w:rsidR="007D2AB7" w:rsidRPr="00BA5820">
        <w:rPr>
          <w:rFonts w:ascii="Arial"/>
          <w:sz w:val="14"/>
          <w:lang w:val="en-US"/>
        </w:rPr>
        <w:t xml:space="preserve"> Vald</w:t>
      </w:r>
      <w:r w:rsidR="00423D61" w:rsidRPr="00BA5820">
        <w:rPr>
          <w:rFonts w:ascii="Arial"/>
          <w:sz w:val="14"/>
          <w:lang w:val="en-US"/>
        </w:rPr>
        <w:t>e</w:t>
      </w:r>
      <w:r w:rsidR="007D2AB7" w:rsidRPr="00BA5820">
        <w:rPr>
          <w:rFonts w:ascii="Arial"/>
          <w:sz w:val="14"/>
          <w:lang w:val="en-US"/>
        </w:rPr>
        <w:t>s-Ferrer</w:t>
      </w:r>
      <w:r w:rsidR="00423D61" w:rsidRPr="00BA5820">
        <w:rPr>
          <w:rFonts w:ascii="Arial"/>
          <w:sz w:val="14"/>
          <w:lang w:val="en-US"/>
        </w:rPr>
        <w:t>’</w:t>
      </w:r>
      <w:r w:rsidR="00423D61" w:rsidRPr="00BA5820">
        <w:rPr>
          <w:rFonts w:ascii="Arial"/>
          <w:sz w:val="14"/>
          <w:lang w:val="en-US"/>
        </w:rPr>
        <w:t>s</w:t>
      </w:r>
      <w:r w:rsidR="007D2AB7" w:rsidRPr="00BA5820">
        <w:rPr>
          <w:rFonts w:ascii="Arial"/>
          <w:sz w:val="14"/>
          <w:lang w:val="en-US"/>
        </w:rPr>
        <w:t xml:space="preserve"> lab is</w:t>
      </w:r>
      <w:r w:rsidR="007D2AB7" w:rsidRPr="00BA5820">
        <w:rPr>
          <w:rFonts w:ascii="Arial"/>
          <w:sz w:val="14"/>
          <w:lang w:val="en-US"/>
        </w:rPr>
        <w:t> </w:t>
      </w:r>
      <w:r w:rsidR="007D2AB7" w:rsidRPr="00BA5820">
        <w:rPr>
          <w:rFonts w:ascii="Arial"/>
          <w:sz w:val="14"/>
          <w:lang w:val="en-US"/>
        </w:rPr>
        <w:t>broadly interested in the interactions between nervous and immune systems in health and disease. We are actively exploring the role of cholinergic agonists in HIV-induced immune dysfunction. For the past year we</w:t>
      </w:r>
      <w:r w:rsidR="00423D61" w:rsidRPr="00BA5820">
        <w:rPr>
          <w:rFonts w:ascii="Arial"/>
          <w:sz w:val="14"/>
          <w:lang w:val="en-US"/>
        </w:rPr>
        <w:t xml:space="preserve"> are interested in finding new therapeutic agents to treat severe COVID-19. We also have a vested interest in understanding vaccine safety beyond the controlled setting of randomized clinical trials. </w:t>
      </w:r>
      <w:r w:rsidR="007D2AB7" w:rsidRPr="00BA5820">
        <w:rPr>
          <w:rFonts w:ascii="Arial"/>
          <w:sz w:val="14"/>
          <w:lang w:val="en-US"/>
        </w:rPr>
        <w:t>The lab is funded by the National Council of Science and Technology of Mexico.</w:t>
      </w:r>
      <w:r w:rsidR="00423D61" w:rsidRPr="00BA5820">
        <w:rPr>
          <w:rFonts w:ascii="Arial"/>
          <w:sz w:val="14"/>
          <w:lang w:val="en-US"/>
        </w:rPr>
        <w:t xml:space="preserve"> Dr. Valdes-Ferrer has no conflicts of interest to declare. </w:t>
      </w:r>
      <w:r w:rsidR="00A9710C" w:rsidRPr="00BA5820">
        <w:rPr>
          <w:rFonts w:ascii="Arial"/>
          <w:sz w:val="14"/>
          <w:lang w:val="en-US"/>
        </w:rPr>
        <w:t xml:space="preserve">Email: </w:t>
      </w:r>
      <w:r w:rsidR="00423D61" w:rsidRPr="00BA5820">
        <w:rPr>
          <w:rFonts w:ascii="Arial"/>
          <w:sz w:val="14"/>
          <w:lang w:val="en-US"/>
        </w:rPr>
        <w:t xml:space="preserve">Sergio.valdesf@incmnsz.mx. </w:t>
      </w:r>
    </w:p>
    <w:p w:rsidR="00423D61" w:rsidRPr="00BA5820" w:rsidRDefault="00423D61" w:rsidP="00423D61">
      <w:pPr>
        <w:spacing w:before="41" w:line="154" w:lineRule="exact"/>
        <w:ind w:left="213" w:right="231"/>
        <w:jc w:val="both"/>
        <w:rPr>
          <w:rFonts w:ascii="Arial"/>
          <w:sz w:val="14"/>
          <w:lang w:val="en-US"/>
        </w:rPr>
        <w:sectPr w:rsidR="00423D61" w:rsidRPr="00BA5820">
          <w:type w:val="continuous"/>
          <w:pgSz w:w="11910" w:h="16840"/>
          <w:pgMar w:top="1740" w:right="600" w:bottom="840" w:left="620" w:header="720" w:footer="720" w:gutter="0"/>
          <w:cols w:space="720"/>
        </w:sectPr>
      </w:pPr>
    </w:p>
    <w:p w:rsidR="00AE3E37" w:rsidRPr="00BA5820" w:rsidRDefault="00AE3E37">
      <w:pPr>
        <w:pStyle w:val="Textoindependiente"/>
        <w:spacing w:before="3"/>
        <w:rPr>
          <w:rFonts w:ascii="Minion Pro"/>
          <w:sz w:val="26"/>
          <w:lang w:val="en-US"/>
        </w:rPr>
      </w:pPr>
    </w:p>
    <w:sectPr w:rsidR="00AE3E37" w:rsidRPr="00BA582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1EE9" w:rsidRDefault="00031EE9">
      <w:r>
        <w:separator/>
      </w:r>
    </w:p>
  </w:endnote>
  <w:endnote w:type="continuationSeparator" w:id="0">
    <w:p w:rsidR="00031EE9" w:rsidRDefault="00031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A5tRlorgIAALAF&#13;&#10;AAAOAAAAAAAAAAAAAAAAAC4CAABkcnMvZTJvRG9jLnhtbFBLAQItABQABgAIAAAAIQAKUM9J5QAA&#13;&#10;ABIBAAAPAAAAAAAAAAAAAAAAAAgFAABkcnMvZG93bnJldi54bWxQSwUGAAAAAAQABADzAAAAGgYA&#13;&#10;AAAA&#13;&#10;" filled="f" stroked="f">
              <v:textbox inset="0,0,0,0">
                <w:txbxContent>
                  <w:p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1EE9" w:rsidRDefault="00031EE9">
      <w:r>
        <w:separator/>
      </w:r>
    </w:p>
  </w:footnote>
  <w:footnote w:type="continuationSeparator" w:id="0">
    <w:p w:rsidR="00031EE9" w:rsidRDefault="00031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rPr>
                          </w:pPr>
                          <w:r w:rsidRPr="005B3A56">
                            <w:rPr>
                              <w:rFonts w:ascii="Impact"/>
                              <w:color w:val="FFFFFF" w:themeColor="background1"/>
                              <w:sz w:val="52"/>
                            </w:rPr>
                            <w:t xml:space="preserve">Fibromyalgia and Chronic Pain </w:t>
                          </w:r>
                          <w:r w:rsidRPr="005B3A56">
                            <w:rPr>
                              <w:rFonts w:ascii="Minion Pro"/>
                              <w:color w:val="FFFFFF" w:themeColor="background1"/>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&#13;&#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rPr>
                    </w:pPr>
                    <w:r w:rsidRPr="005B3A56">
                      <w:rPr>
                        <w:rFonts w:ascii="Impact"/>
                        <w:color w:val="FFFFFF" w:themeColor="background1"/>
                        <w:sz w:val="52"/>
                      </w:rPr>
                      <w:t xml:space="preserve">Fibromyalgia and Chronic Pain </w:t>
                    </w:r>
                    <w:r w:rsidRPr="005B3A56">
                      <w:rPr>
                        <w:rFonts w:ascii="Minion Pro"/>
                        <w:color w:val="FFFFFF" w:themeColor="background1"/>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185B7F"/>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1EE9"/>
    <w:rsid w:val="000E2911"/>
    <w:rsid w:val="001263DF"/>
    <w:rsid w:val="001440BF"/>
    <w:rsid w:val="001E763C"/>
    <w:rsid w:val="00292ED9"/>
    <w:rsid w:val="00314AFB"/>
    <w:rsid w:val="003B76D9"/>
    <w:rsid w:val="00404E5B"/>
    <w:rsid w:val="00414F7B"/>
    <w:rsid w:val="00423D61"/>
    <w:rsid w:val="004355DC"/>
    <w:rsid w:val="004749B4"/>
    <w:rsid w:val="00494130"/>
    <w:rsid w:val="004F3523"/>
    <w:rsid w:val="005973B9"/>
    <w:rsid w:val="005B3A56"/>
    <w:rsid w:val="006060CE"/>
    <w:rsid w:val="0063497F"/>
    <w:rsid w:val="0078738A"/>
    <w:rsid w:val="007D2AB7"/>
    <w:rsid w:val="00873DF0"/>
    <w:rsid w:val="008756E6"/>
    <w:rsid w:val="00925382"/>
    <w:rsid w:val="009B2D44"/>
    <w:rsid w:val="00A07E82"/>
    <w:rsid w:val="00A9710C"/>
    <w:rsid w:val="00AE3E37"/>
    <w:rsid w:val="00AF2E27"/>
    <w:rsid w:val="00B21A57"/>
    <w:rsid w:val="00BA5820"/>
    <w:rsid w:val="00C33602"/>
    <w:rsid w:val="00CD6F55"/>
    <w:rsid w:val="00D62425"/>
    <w:rsid w:val="00DE3104"/>
    <w:rsid w:val="00E8292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F6E9FD"/>
  <w15:docId w15:val="{4E111A56-8247-404D-BFB7-9698C9FE1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D2AB7"/>
    <w:pPr>
      <w:widowControl/>
    </w:pPr>
    <w:rPr>
      <w:rFonts w:ascii="Times New Roman" w:eastAsia="Times New Roman" w:hAnsi="Times New Roman" w:cs="Times New Roman"/>
      <w:sz w:val="24"/>
      <w:szCs w:val="24"/>
      <w:lang w:val="es-MX" w:eastAsia="es-ES_tradnl"/>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docsum-authors">
    <w:name w:val="docsum-authors"/>
    <w:basedOn w:val="Fuentedeprrafopredeter"/>
    <w:rsid w:val="007D2AB7"/>
  </w:style>
  <w:style w:type="character" w:styleId="Mencinsinresolver">
    <w:name w:val="Unresolved Mention"/>
    <w:basedOn w:val="Fuentedeprrafopredeter"/>
    <w:uiPriority w:val="99"/>
    <w:semiHidden/>
    <w:unhideWhenUsed/>
    <w:rsid w:val="007D2AB7"/>
    <w:rPr>
      <w:color w:val="605E5C"/>
      <w:shd w:val="clear" w:color="auto" w:fill="E1DFDD"/>
    </w:rPr>
  </w:style>
  <w:style w:type="paragraph" w:styleId="NormalWeb">
    <w:name w:val="Normal (Web)"/>
    <w:basedOn w:val="Normal"/>
    <w:uiPriority w:val="99"/>
    <w:semiHidden/>
    <w:unhideWhenUsed/>
    <w:rsid w:val="007D2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073847">
      <w:bodyDiv w:val="1"/>
      <w:marLeft w:val="0"/>
      <w:marRight w:val="0"/>
      <w:marTop w:val="0"/>
      <w:marBottom w:val="0"/>
      <w:divBdr>
        <w:top w:val="none" w:sz="0" w:space="0" w:color="auto"/>
        <w:left w:val="none" w:sz="0" w:space="0" w:color="auto"/>
        <w:bottom w:val="none" w:sz="0" w:space="0" w:color="auto"/>
        <w:right w:val="none" w:sz="0" w:space="0" w:color="auto"/>
      </w:divBdr>
    </w:div>
    <w:div w:id="534738002">
      <w:bodyDiv w:val="1"/>
      <w:marLeft w:val="0"/>
      <w:marRight w:val="0"/>
      <w:marTop w:val="0"/>
      <w:marBottom w:val="0"/>
      <w:divBdr>
        <w:top w:val="none" w:sz="0" w:space="0" w:color="auto"/>
        <w:left w:val="none" w:sz="0" w:space="0" w:color="auto"/>
        <w:bottom w:val="none" w:sz="0" w:space="0" w:color="auto"/>
        <w:right w:val="none" w:sz="0" w:space="0" w:color="auto"/>
      </w:divBdr>
      <w:divsChild>
        <w:div w:id="934898816">
          <w:marLeft w:val="0"/>
          <w:marRight w:val="0"/>
          <w:marTop w:val="0"/>
          <w:marBottom w:val="0"/>
          <w:divBdr>
            <w:top w:val="none" w:sz="0" w:space="0" w:color="auto"/>
            <w:left w:val="none" w:sz="0" w:space="0" w:color="auto"/>
            <w:bottom w:val="none" w:sz="0" w:space="0" w:color="auto"/>
            <w:right w:val="none" w:sz="0" w:space="0" w:color="auto"/>
          </w:divBdr>
          <w:divsChild>
            <w:div w:id="472018032">
              <w:marLeft w:val="0"/>
              <w:marRight w:val="0"/>
              <w:marTop w:val="0"/>
              <w:marBottom w:val="0"/>
              <w:divBdr>
                <w:top w:val="none" w:sz="0" w:space="0" w:color="auto"/>
                <w:left w:val="none" w:sz="0" w:space="0" w:color="auto"/>
                <w:bottom w:val="none" w:sz="0" w:space="0" w:color="auto"/>
                <w:right w:val="none" w:sz="0" w:space="0" w:color="auto"/>
              </w:divBdr>
              <w:divsChild>
                <w:div w:id="35246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60714554">
      <w:bodyDiv w:val="1"/>
      <w:marLeft w:val="0"/>
      <w:marRight w:val="0"/>
      <w:marTop w:val="0"/>
      <w:marBottom w:val="0"/>
      <w:divBdr>
        <w:top w:val="none" w:sz="0" w:space="0" w:color="auto"/>
        <w:left w:val="none" w:sz="0" w:space="0" w:color="auto"/>
        <w:bottom w:val="none" w:sz="0" w:space="0" w:color="auto"/>
        <w:right w:val="none" w:sz="0" w:space="0" w:color="auto"/>
      </w:divBdr>
      <w:divsChild>
        <w:div w:id="1059062312">
          <w:marLeft w:val="0"/>
          <w:marRight w:val="0"/>
          <w:marTop w:val="0"/>
          <w:marBottom w:val="0"/>
          <w:divBdr>
            <w:top w:val="none" w:sz="0" w:space="0" w:color="auto"/>
            <w:left w:val="none" w:sz="0" w:space="0" w:color="auto"/>
            <w:bottom w:val="none" w:sz="0" w:space="0" w:color="auto"/>
            <w:right w:val="none" w:sz="0" w:space="0" w:color="auto"/>
          </w:divBdr>
        </w:div>
      </w:divsChild>
    </w:div>
    <w:div w:id="1198160489">
      <w:bodyDiv w:val="1"/>
      <w:marLeft w:val="0"/>
      <w:marRight w:val="0"/>
      <w:marTop w:val="0"/>
      <w:marBottom w:val="0"/>
      <w:divBdr>
        <w:top w:val="none" w:sz="0" w:space="0" w:color="auto"/>
        <w:left w:val="none" w:sz="0" w:space="0" w:color="auto"/>
        <w:bottom w:val="none" w:sz="0" w:space="0" w:color="auto"/>
        <w:right w:val="none" w:sz="0" w:space="0" w:color="auto"/>
      </w:divBdr>
      <w:divsChild>
        <w:div w:id="149948628">
          <w:marLeft w:val="0"/>
          <w:marRight w:val="0"/>
          <w:marTop w:val="0"/>
          <w:marBottom w:val="0"/>
          <w:divBdr>
            <w:top w:val="none" w:sz="0" w:space="0" w:color="auto"/>
            <w:left w:val="none" w:sz="0" w:space="0" w:color="auto"/>
            <w:bottom w:val="none" w:sz="0" w:space="0" w:color="auto"/>
            <w:right w:val="none" w:sz="0" w:space="0" w:color="auto"/>
          </w:divBdr>
        </w:div>
      </w:divsChild>
    </w:div>
    <w:div w:id="1427381474">
      <w:bodyDiv w:val="1"/>
      <w:marLeft w:val="0"/>
      <w:marRight w:val="0"/>
      <w:marTop w:val="0"/>
      <w:marBottom w:val="0"/>
      <w:divBdr>
        <w:top w:val="none" w:sz="0" w:space="0" w:color="auto"/>
        <w:left w:val="none" w:sz="0" w:space="0" w:color="auto"/>
        <w:bottom w:val="none" w:sz="0" w:space="0" w:color="auto"/>
        <w:right w:val="none" w:sz="0" w:space="0" w:color="auto"/>
      </w:divBdr>
      <w:divsChild>
        <w:div w:id="361170593">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44346606">
      <w:bodyDiv w:val="1"/>
      <w:marLeft w:val="0"/>
      <w:marRight w:val="0"/>
      <w:marTop w:val="0"/>
      <w:marBottom w:val="0"/>
      <w:divBdr>
        <w:top w:val="none" w:sz="0" w:space="0" w:color="auto"/>
        <w:left w:val="none" w:sz="0" w:space="0" w:color="auto"/>
        <w:bottom w:val="none" w:sz="0" w:space="0" w:color="auto"/>
        <w:right w:val="none" w:sz="0" w:space="0" w:color="auto"/>
      </w:divBdr>
      <w:divsChild>
        <w:div w:id="1846832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ubmed.ncbi.nlm.nih.gov/335498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med.ncbi.nlm.nih.gov/3383104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3414764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ubmed.ncbi.nlm.nih.gov/3435869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ubmed.ncbi.nlm.nih.gov/330667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156302D-0872-D04E-B322-44B818572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569</Words>
  <Characters>3135</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 Iván Valdés</cp:lastModifiedBy>
  <cp:revision>3</cp:revision>
  <dcterms:created xsi:type="dcterms:W3CDTF">2021-08-26T23:28:00Z</dcterms:created>
  <dcterms:modified xsi:type="dcterms:W3CDTF">2021-08-26T23:31:00Z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