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B07" w:rsidRDefault="00685B07">
      <w:r>
        <w:t>Plenary Session Lecture</w:t>
      </w:r>
    </w:p>
    <w:p w:rsidR="00685B07" w:rsidRDefault="00685B07" w:rsidP="00685B07">
      <w:pPr>
        <w:rPr>
          <w:sz w:val="24"/>
        </w:rPr>
      </w:pPr>
    </w:p>
    <w:p w:rsidR="00685B07" w:rsidRPr="00685B07" w:rsidRDefault="00685B07" w:rsidP="00685B07">
      <w:pPr>
        <w:rPr>
          <w:sz w:val="16"/>
        </w:rPr>
      </w:pPr>
      <w:r w:rsidRPr="00685B07">
        <w:rPr>
          <w:b/>
          <w:bCs/>
          <w:caps/>
          <w:sz w:val="32"/>
          <w:szCs w:val="72"/>
        </w:rPr>
        <w:t>Work Place Based Assessment in Urology: THE IKD MODEL</w:t>
      </w:r>
    </w:p>
    <w:p w:rsidR="00685B07" w:rsidRPr="0031212C" w:rsidRDefault="00685B07" w:rsidP="00685B07">
      <w:pPr>
        <w:spacing w:after="0"/>
        <w:jc w:val="center"/>
        <w:rPr>
          <w:sz w:val="24"/>
        </w:rPr>
      </w:pPr>
      <w:r w:rsidRPr="0031212C">
        <w:rPr>
          <w:sz w:val="24"/>
        </w:rPr>
        <w:t>Dr Liaqat Ali</w:t>
      </w:r>
    </w:p>
    <w:p w:rsidR="00685B07" w:rsidRPr="0031212C" w:rsidRDefault="00685B07" w:rsidP="00685B07">
      <w:pPr>
        <w:spacing w:after="0"/>
        <w:jc w:val="center"/>
        <w:rPr>
          <w:sz w:val="24"/>
        </w:rPr>
      </w:pPr>
      <w:r w:rsidRPr="0031212C">
        <w:rPr>
          <w:sz w:val="24"/>
        </w:rPr>
        <w:t xml:space="preserve">MBBS, FCPS, </w:t>
      </w:r>
      <w:r w:rsidR="00EE715C" w:rsidRPr="0031212C">
        <w:rPr>
          <w:sz w:val="24"/>
        </w:rPr>
        <w:t>CHPE</w:t>
      </w:r>
    </w:p>
    <w:p w:rsidR="00685B07" w:rsidRPr="0031212C" w:rsidRDefault="00685B07" w:rsidP="00685B07">
      <w:pPr>
        <w:spacing w:after="0"/>
        <w:jc w:val="center"/>
        <w:rPr>
          <w:sz w:val="24"/>
        </w:rPr>
      </w:pPr>
      <w:r w:rsidRPr="0031212C">
        <w:rPr>
          <w:sz w:val="24"/>
        </w:rPr>
        <w:t>Associate Professor Urology</w:t>
      </w:r>
    </w:p>
    <w:p w:rsidR="00EE715C" w:rsidRPr="0031212C" w:rsidRDefault="00EE715C" w:rsidP="00685B07">
      <w:pPr>
        <w:spacing w:after="0"/>
        <w:jc w:val="center"/>
        <w:rPr>
          <w:sz w:val="24"/>
        </w:rPr>
      </w:pPr>
      <w:r w:rsidRPr="0031212C">
        <w:rPr>
          <w:sz w:val="24"/>
        </w:rPr>
        <w:t>Former Chairman Department of Urology &amp; Transplant</w:t>
      </w:r>
    </w:p>
    <w:p w:rsidR="00685B07" w:rsidRDefault="00685B07" w:rsidP="00685B07">
      <w:pPr>
        <w:spacing w:after="0"/>
        <w:jc w:val="center"/>
        <w:rPr>
          <w:sz w:val="24"/>
        </w:rPr>
      </w:pPr>
      <w:r w:rsidRPr="0031212C">
        <w:rPr>
          <w:sz w:val="24"/>
        </w:rPr>
        <w:t>Institute of Kidney Diseases HMC Peshawar</w:t>
      </w:r>
    </w:p>
    <w:p w:rsidR="00685B07" w:rsidRDefault="00685B07" w:rsidP="00685B07">
      <w:pPr>
        <w:spacing w:after="0"/>
        <w:rPr>
          <w:sz w:val="24"/>
        </w:rPr>
      </w:pPr>
    </w:p>
    <w:p w:rsidR="005619CB" w:rsidRDefault="005619CB" w:rsidP="002161D1">
      <w:pPr>
        <w:spacing w:after="0" w:line="360" w:lineRule="auto"/>
        <w:jc w:val="both"/>
      </w:pPr>
    </w:p>
    <w:p w:rsidR="00685B07" w:rsidRPr="00EE715C" w:rsidRDefault="00685B07" w:rsidP="002161D1">
      <w:pPr>
        <w:spacing w:after="0" w:line="360" w:lineRule="auto"/>
        <w:jc w:val="both"/>
      </w:pPr>
      <w:r w:rsidRPr="00EE715C">
        <w:t xml:space="preserve">The apprenticeship model of medical training has existed for thousands of years. That is what is practiced in CPSP between supervisor and the trainee, the resident learns from watching the supervisor, and the supervisor observes the apprentice’s performance and helps them improve. </w:t>
      </w:r>
    </w:p>
    <w:p w:rsidR="00685B07" w:rsidRPr="00EE715C" w:rsidRDefault="00685B07" w:rsidP="002161D1">
      <w:pPr>
        <w:spacing w:after="0" w:line="360" w:lineRule="auto"/>
        <w:jc w:val="both"/>
      </w:pPr>
      <w:r w:rsidRPr="00EE715C">
        <w:rPr>
          <w:b/>
        </w:rPr>
        <w:t>There are two terms, Competence and Performance</w:t>
      </w:r>
      <w:r w:rsidRPr="00EE715C">
        <w:t xml:space="preserve">. It sound similar but there is a delicate difference between them.  “Competence describes what an individual is able to do… while performance should describe what an individual actually does in clinical practice.” </w:t>
      </w:r>
    </w:p>
    <w:p w:rsidR="00685B07" w:rsidRPr="00EE715C" w:rsidRDefault="00685B07" w:rsidP="002161D1">
      <w:pPr>
        <w:spacing w:after="0" w:line="360" w:lineRule="auto"/>
        <w:jc w:val="both"/>
      </w:pPr>
      <w:r w:rsidRPr="00EE715C">
        <w:t xml:space="preserve">Therefore, performance assessment is not a new concept. However, in the modern healthcare environment, with its discourse of accountability, performance assessment has an increasing role in ensuring that professionals maintain the knowledge and skills required for practice. </w:t>
      </w:r>
    </w:p>
    <w:p w:rsidR="00685B07" w:rsidRDefault="00685B07" w:rsidP="002161D1">
      <w:pPr>
        <w:spacing w:after="0" w:line="360" w:lineRule="auto"/>
        <w:jc w:val="both"/>
      </w:pPr>
      <w:r w:rsidRPr="00EE715C">
        <w:t xml:space="preserve">In the United States, the Medical Licensing Examination (USMLE) makes use of a structured test of clinical skills in the second stage of the licensing assessment. In the UK and Australasia, </w:t>
      </w:r>
      <w:r w:rsidRPr="00EE715C">
        <w:rPr>
          <w:b/>
        </w:rPr>
        <w:t>the main Royal Colleges have assessment frameworks for trainees that include workplace-based assessment (WPBA) tools.</w:t>
      </w:r>
      <w:r w:rsidR="00EE715C">
        <w:rPr>
          <w:b/>
        </w:rPr>
        <w:t xml:space="preserve"> </w:t>
      </w:r>
      <w:r w:rsidRPr="00EE715C">
        <w:t>The WPBA comes on the top of Miller’s Pyramid in the domain of “</w:t>
      </w:r>
      <w:proofErr w:type="gramStart"/>
      <w:r w:rsidRPr="00EE715C">
        <w:t>Does .</w:t>
      </w:r>
      <w:proofErr w:type="gramEnd"/>
      <w:r w:rsidRPr="00EE715C">
        <w:t xml:space="preserve"> It is important that it can decide the term </w:t>
      </w:r>
      <w:proofErr w:type="gramStart"/>
      <w:r w:rsidRPr="00EE715C">
        <w:t>“ Expert</w:t>
      </w:r>
      <w:proofErr w:type="gramEnd"/>
      <w:r w:rsidRPr="00EE715C">
        <w:t>” on Miller’s Pyramid</w:t>
      </w:r>
      <w:r w:rsidR="00EE715C">
        <w:t>.</w:t>
      </w:r>
    </w:p>
    <w:p w:rsidR="002161D1" w:rsidRDefault="002161D1" w:rsidP="002161D1">
      <w:pPr>
        <w:spacing w:line="360" w:lineRule="auto"/>
        <w:jc w:val="both"/>
        <w:rPr>
          <w:sz w:val="24"/>
        </w:rPr>
      </w:pPr>
      <w:r>
        <w:rPr>
          <w:sz w:val="24"/>
        </w:rPr>
        <w:t xml:space="preserve">The WPBA is important but still </w:t>
      </w:r>
      <w:r w:rsidRPr="00245B58">
        <w:rPr>
          <w:sz w:val="24"/>
        </w:rPr>
        <w:t xml:space="preserve">raises a number of issues, </w:t>
      </w:r>
      <w:proofErr w:type="gramStart"/>
      <w:r w:rsidRPr="00245B58">
        <w:rPr>
          <w:b/>
          <w:sz w:val="24"/>
        </w:rPr>
        <w:t>It</w:t>
      </w:r>
      <w:proofErr w:type="gramEnd"/>
      <w:r w:rsidRPr="00245B58">
        <w:rPr>
          <w:b/>
          <w:sz w:val="24"/>
        </w:rPr>
        <w:t xml:space="preserve"> is vital that these assessments are feasibly carried out without too much disruption to clinical work or patient care</w:t>
      </w:r>
      <w:r w:rsidRPr="00245B58">
        <w:rPr>
          <w:sz w:val="24"/>
        </w:rPr>
        <w:t>. Using a wide range of WPBA tools helps identify strengths and weaknesses in different areas of practice, such as technical skills</w:t>
      </w:r>
      <w:r>
        <w:rPr>
          <w:sz w:val="24"/>
        </w:rPr>
        <w:t xml:space="preserve">. There are number of WPBA tools. The Institute of Kidney Disease is pioneer in starting structured urological curriculum by developing nine modules for post </w:t>
      </w:r>
      <w:r w:rsidR="005619CB">
        <w:rPr>
          <w:sz w:val="24"/>
        </w:rPr>
        <w:t>graduate</w:t>
      </w:r>
      <w:r>
        <w:rPr>
          <w:sz w:val="24"/>
        </w:rPr>
        <w:t xml:space="preserve"> </w:t>
      </w:r>
      <w:r w:rsidR="005619CB">
        <w:rPr>
          <w:sz w:val="24"/>
        </w:rPr>
        <w:t>residents</w:t>
      </w:r>
      <w:r w:rsidR="00B32DF5">
        <w:rPr>
          <w:sz w:val="24"/>
        </w:rPr>
        <w:t xml:space="preserve"> with published study guides</w:t>
      </w:r>
      <w:r>
        <w:rPr>
          <w:sz w:val="24"/>
        </w:rPr>
        <w:t>. T</w:t>
      </w:r>
      <w:r w:rsidR="005619CB">
        <w:rPr>
          <w:sz w:val="24"/>
        </w:rPr>
        <w:t>hese</w:t>
      </w:r>
      <w:r>
        <w:rPr>
          <w:sz w:val="24"/>
        </w:rPr>
        <w:t xml:space="preserve"> modules are evaluated with</w:t>
      </w:r>
      <w:r w:rsidR="005619CB">
        <w:rPr>
          <w:sz w:val="24"/>
        </w:rPr>
        <w:t xml:space="preserve"> regular </w:t>
      </w:r>
      <w:r w:rsidR="005619CB">
        <w:rPr>
          <w:sz w:val="24"/>
        </w:rPr>
        <w:lastRenderedPageBreak/>
        <w:t>multiple</w:t>
      </w:r>
      <w:r>
        <w:rPr>
          <w:sz w:val="24"/>
        </w:rPr>
        <w:t xml:space="preserve"> mock </w:t>
      </w:r>
      <w:r w:rsidR="005619CB">
        <w:rPr>
          <w:sz w:val="24"/>
        </w:rPr>
        <w:t>exams including MCQs and TOACS.  The department of Urology IKD is currently following 3 WPBA tools:</w:t>
      </w:r>
    </w:p>
    <w:p w:rsidR="005619CB" w:rsidRDefault="005619CB" w:rsidP="005619CB">
      <w:pPr>
        <w:pStyle w:val="ListParagraph"/>
        <w:numPr>
          <w:ilvl w:val="0"/>
          <w:numId w:val="1"/>
        </w:numPr>
        <w:spacing w:line="360" w:lineRule="auto"/>
        <w:jc w:val="both"/>
        <w:rPr>
          <w:sz w:val="24"/>
        </w:rPr>
      </w:pPr>
      <w:r w:rsidRPr="002976C3">
        <w:rPr>
          <w:sz w:val="24"/>
        </w:rPr>
        <w:t>MINI CLINICAL EVALUATION  EXERCISE (MINI-CEX)</w:t>
      </w:r>
    </w:p>
    <w:p w:rsidR="005619CB" w:rsidRDefault="005619CB" w:rsidP="005619CB">
      <w:pPr>
        <w:pStyle w:val="ListParagraph"/>
        <w:numPr>
          <w:ilvl w:val="0"/>
          <w:numId w:val="1"/>
        </w:numPr>
        <w:spacing w:line="360" w:lineRule="auto"/>
        <w:jc w:val="both"/>
        <w:rPr>
          <w:sz w:val="24"/>
        </w:rPr>
      </w:pPr>
      <w:r w:rsidRPr="002976C3">
        <w:rPr>
          <w:sz w:val="24"/>
        </w:rPr>
        <w:t>DIRECT OBSERVATION OF PROCEDURAL SKILLS (DOPS)</w:t>
      </w:r>
    </w:p>
    <w:p w:rsidR="005619CB" w:rsidRDefault="005619CB" w:rsidP="005619CB">
      <w:pPr>
        <w:pStyle w:val="ListParagraph"/>
        <w:numPr>
          <w:ilvl w:val="0"/>
          <w:numId w:val="1"/>
        </w:numPr>
        <w:spacing w:line="360" w:lineRule="auto"/>
        <w:jc w:val="both"/>
        <w:rPr>
          <w:sz w:val="24"/>
        </w:rPr>
      </w:pPr>
      <w:r>
        <w:rPr>
          <w:sz w:val="24"/>
        </w:rPr>
        <w:t>CASE BASED DISCUSSION (CBD)</w:t>
      </w:r>
    </w:p>
    <w:p w:rsidR="002161D1" w:rsidRDefault="005619CB" w:rsidP="008C5989">
      <w:pPr>
        <w:spacing w:line="360" w:lineRule="auto"/>
        <w:jc w:val="both"/>
        <w:rPr>
          <w:sz w:val="24"/>
        </w:rPr>
      </w:pPr>
      <w:r>
        <w:rPr>
          <w:sz w:val="24"/>
        </w:rPr>
        <w:t xml:space="preserve">All the domains of Bloom’s Taxonomy are covered in our WPBA. </w:t>
      </w:r>
      <w:r w:rsidR="00B32DF5">
        <w:rPr>
          <w:sz w:val="24"/>
        </w:rPr>
        <w:t>In MINI-</w:t>
      </w:r>
      <w:proofErr w:type="gramStart"/>
      <w:r w:rsidR="00B32DF5">
        <w:rPr>
          <w:sz w:val="24"/>
        </w:rPr>
        <w:t>CEX ,</w:t>
      </w:r>
      <w:proofErr w:type="gramEnd"/>
      <w:r w:rsidR="00B32DF5">
        <w:rPr>
          <w:sz w:val="24"/>
        </w:rPr>
        <w:t xml:space="preserve"> </w:t>
      </w:r>
      <w:r>
        <w:rPr>
          <w:sz w:val="24"/>
        </w:rPr>
        <w:t xml:space="preserve">During the three years of residency,   33 variables are identified for </w:t>
      </w:r>
      <w:r w:rsidRPr="005619CB">
        <w:rPr>
          <w:sz w:val="24"/>
        </w:rPr>
        <w:t>medical interviewing/ Descion making diagnosis and counseling</w:t>
      </w:r>
      <w:r>
        <w:rPr>
          <w:sz w:val="24"/>
        </w:rPr>
        <w:t xml:space="preserve">, </w:t>
      </w:r>
      <w:r w:rsidR="00B32DF5">
        <w:rPr>
          <w:sz w:val="24"/>
        </w:rPr>
        <w:t xml:space="preserve"> 25 variables are identified as physical examination. This is followed by feedback and record is kept for internal assessment as 30 % in Final Fellow ship Pre assessment exam.  27 surgeries are identified which makes almost 80% of Urology that are covered in DOPS. The CBD is only for 1</w:t>
      </w:r>
      <w:r w:rsidR="00B32DF5" w:rsidRPr="00B32DF5">
        <w:rPr>
          <w:sz w:val="24"/>
          <w:vertAlign w:val="superscript"/>
        </w:rPr>
        <w:t>st</w:t>
      </w:r>
      <w:r w:rsidR="00B32DF5">
        <w:rPr>
          <w:sz w:val="24"/>
        </w:rPr>
        <w:t xml:space="preserve"> year residents who are going through 1-3 steps of Entrustable professional activities.</w:t>
      </w:r>
    </w:p>
    <w:p w:rsidR="008C5989" w:rsidRPr="008C5989" w:rsidRDefault="008C5989" w:rsidP="008C5989">
      <w:pPr>
        <w:spacing w:line="360" w:lineRule="auto"/>
        <w:jc w:val="both"/>
        <w:rPr>
          <w:sz w:val="24"/>
        </w:rPr>
      </w:pPr>
      <w:r>
        <w:rPr>
          <w:sz w:val="24"/>
        </w:rPr>
        <w:t>We are aiming to share our experience of structured teaching Programe in UROCON 2022.  I am sure that the accredited Institutes of CPSP in Urology can take inference from our model and can implement these tools for proper training of postgraduate residents in Urology.</w:t>
      </w:r>
    </w:p>
    <w:p w:rsidR="00E04514" w:rsidRPr="00EE715C" w:rsidRDefault="00E04514" w:rsidP="00EE715C">
      <w:pPr>
        <w:spacing w:after="0"/>
        <w:jc w:val="both"/>
        <w:rPr>
          <w:sz w:val="20"/>
        </w:rPr>
      </w:pPr>
    </w:p>
    <w:sectPr w:rsidR="00E04514" w:rsidRPr="00EE715C" w:rsidSect="002545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4B305E"/>
    <w:multiLevelType w:val="hybridMultilevel"/>
    <w:tmpl w:val="8B0CC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85B07"/>
    <w:rsid w:val="002161D1"/>
    <w:rsid w:val="00254563"/>
    <w:rsid w:val="0031212C"/>
    <w:rsid w:val="003D7682"/>
    <w:rsid w:val="005619CB"/>
    <w:rsid w:val="00685B07"/>
    <w:rsid w:val="008C5989"/>
    <w:rsid w:val="00B32DF5"/>
    <w:rsid w:val="00D256E5"/>
    <w:rsid w:val="00E04514"/>
    <w:rsid w:val="00EE7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5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B07"/>
    <w:rPr>
      <w:rFonts w:ascii="Tahoma" w:hAnsi="Tahoma" w:cs="Tahoma"/>
      <w:sz w:val="16"/>
      <w:szCs w:val="16"/>
    </w:rPr>
  </w:style>
  <w:style w:type="paragraph" w:styleId="ListParagraph">
    <w:name w:val="List Paragraph"/>
    <w:basedOn w:val="Normal"/>
    <w:uiPriority w:val="34"/>
    <w:qFormat/>
    <w:rsid w:val="002161D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liaqat</dc:creator>
  <cp:lastModifiedBy>liaqat</cp:lastModifiedBy>
  <cp:revision>2</cp:revision>
  <dcterms:created xsi:type="dcterms:W3CDTF">2023-10-01T18:34:00Z</dcterms:created>
  <dcterms:modified xsi:type="dcterms:W3CDTF">2023-10-01T18:34:00Z</dcterms:modified>
</cp:coreProperties>
</file>