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3E37" w:rsidRDefault="00AD25BA" w:rsidP="00C526EC">
      <w:pPr>
        <w:pStyle w:val="Ttulo1"/>
        <w:spacing w:before="170"/>
        <w:ind w:left="0"/>
        <w:jc w:val="both"/>
      </w:pPr>
      <w:r>
        <w:rPr>
          <w:color w:val="337AB7"/>
        </w:rPr>
        <w:t>Bladder cancer</w:t>
      </w:r>
      <w:r w:rsidR="009121A2">
        <w:rPr>
          <w:color w:val="337AB7"/>
        </w:rPr>
        <w:t>: review</w:t>
      </w:r>
      <w:r w:rsidR="009463D0">
        <w:rPr>
          <w:color w:val="337AB7"/>
        </w:rPr>
        <w:t>,</w:t>
      </w:r>
      <w:r w:rsidR="009121A2">
        <w:rPr>
          <w:color w:val="337AB7"/>
        </w:rPr>
        <w:t xml:space="preserve"> current and future trends </w:t>
      </w:r>
    </w:p>
    <w:p w:rsidR="005973B9" w:rsidRDefault="00AD25BA" w:rsidP="00C526EC">
      <w:pPr>
        <w:pStyle w:val="Textoindependiente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>MS4, Carlos Esteban Vidal Valderrama, Universidad Aut</w:t>
      </w:r>
      <w:r w:rsidR="00D70CED" w:rsidRPr="00D70CED">
        <w:rPr>
          <w:rFonts w:ascii="Arial" w:hAnsi="Arial" w:cs="Arial"/>
        </w:rPr>
        <w:t>ó</w:t>
      </w:r>
      <w:r>
        <w:rPr>
          <w:rFonts w:ascii="Arial"/>
        </w:rPr>
        <w:t>noma de Baja California</w:t>
      </w:r>
    </w:p>
    <w:p w:rsidR="00AE3E37" w:rsidRDefault="00AE3E37" w:rsidP="00C526EC">
      <w:pPr>
        <w:jc w:val="both"/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463D0" w:rsidRDefault="00A9710C" w:rsidP="00C526EC">
      <w:pPr>
        <w:pStyle w:val="Ttulo3"/>
        <w:spacing w:before="147"/>
        <w:jc w:val="both"/>
        <w:rPr>
          <w:sz w:val="24"/>
          <w:szCs w:val="24"/>
        </w:rPr>
      </w:pPr>
      <w:r w:rsidRPr="009463D0">
        <w:rPr>
          <w:color w:val="BF5A14"/>
          <w:sz w:val="24"/>
          <w:szCs w:val="24"/>
        </w:rPr>
        <w:t>Abstract</w:t>
      </w:r>
      <w:r w:rsidR="00404E5B" w:rsidRPr="009463D0">
        <w:rPr>
          <w:color w:val="BF5A14"/>
          <w:sz w:val="24"/>
          <w:szCs w:val="24"/>
        </w:rPr>
        <w:t xml:space="preserve"> </w:t>
      </w:r>
    </w:p>
    <w:p w:rsidR="005625EB" w:rsidRPr="00EC358E" w:rsidRDefault="0010496F" w:rsidP="008963EB">
      <w:pPr>
        <w:pStyle w:val="Textoindependiente"/>
        <w:spacing w:before="90" w:line="360" w:lineRule="auto"/>
        <w:ind w:left="100"/>
        <w:jc w:val="both"/>
        <w:rPr>
          <w:rFonts w:ascii="Arial" w:hAnsi="Arial" w:cs="Arial"/>
          <w:sz w:val="22"/>
          <w:szCs w:val="22"/>
        </w:rPr>
      </w:pPr>
      <w:r w:rsidRPr="00EC358E">
        <w:rPr>
          <w:rFonts w:ascii="Arial" w:hAnsi="Arial" w:cs="Arial"/>
          <w:sz w:val="22"/>
          <w:szCs w:val="22"/>
        </w:rPr>
        <w:t>Bladder cancer</w:t>
      </w:r>
      <w:r w:rsidR="005625EB" w:rsidRPr="00EC358E">
        <w:rPr>
          <w:rFonts w:ascii="Arial" w:hAnsi="Arial" w:cs="Arial"/>
          <w:sz w:val="22"/>
          <w:szCs w:val="22"/>
        </w:rPr>
        <w:t xml:space="preserve"> (BC)</w:t>
      </w:r>
      <w:r w:rsidRPr="00EC358E">
        <w:rPr>
          <w:rFonts w:ascii="Arial" w:hAnsi="Arial" w:cs="Arial"/>
          <w:sz w:val="22"/>
          <w:szCs w:val="22"/>
        </w:rPr>
        <w:t xml:space="preserve"> is the </w:t>
      </w:r>
      <w:r w:rsidR="009D7230" w:rsidRPr="00EC358E">
        <w:rPr>
          <w:rFonts w:ascii="Arial" w:hAnsi="Arial" w:cs="Arial"/>
          <w:sz w:val="22"/>
          <w:szCs w:val="22"/>
        </w:rPr>
        <w:t>ninth most common cancer worldwide, which is typically diagnosed in older individuals</w:t>
      </w:r>
      <w:r w:rsidR="005625EB" w:rsidRPr="00EC358E">
        <w:rPr>
          <w:rFonts w:ascii="Arial" w:hAnsi="Arial" w:cs="Arial"/>
          <w:sz w:val="22"/>
          <w:szCs w:val="22"/>
        </w:rPr>
        <w:t xml:space="preserve">, although extremely rare, bladder cancer can be seen in children and young adults. Tobacco consumption is the principal risk factor for the development of BC, followed </w:t>
      </w:r>
      <w:r w:rsidR="00D70CED" w:rsidRPr="00EC358E">
        <w:rPr>
          <w:rFonts w:ascii="Arial" w:hAnsi="Arial" w:cs="Arial"/>
          <w:sz w:val="22"/>
          <w:szCs w:val="22"/>
        </w:rPr>
        <w:t>by</w:t>
      </w:r>
      <w:r w:rsidR="005625EB" w:rsidRPr="00EC358E">
        <w:rPr>
          <w:rFonts w:ascii="Arial" w:hAnsi="Arial" w:cs="Arial"/>
          <w:sz w:val="22"/>
          <w:szCs w:val="22"/>
        </w:rPr>
        <w:t xml:space="preserve"> occupational carcinogen exposure which </w:t>
      </w:r>
      <w:r w:rsidR="00D70CED" w:rsidRPr="00EC358E">
        <w:rPr>
          <w:rFonts w:ascii="Arial" w:hAnsi="Arial" w:cs="Arial"/>
          <w:sz w:val="22"/>
          <w:szCs w:val="22"/>
        </w:rPr>
        <w:t>includes</w:t>
      </w:r>
      <w:r w:rsidR="005625EB" w:rsidRPr="00EC358E">
        <w:rPr>
          <w:rFonts w:ascii="Arial" w:hAnsi="Arial" w:cs="Arial"/>
          <w:sz w:val="22"/>
          <w:szCs w:val="22"/>
        </w:rPr>
        <w:t xml:space="preserve"> aromatic amines, toluene, </w:t>
      </w:r>
      <w:r w:rsidR="00D70CED" w:rsidRPr="00EC358E">
        <w:rPr>
          <w:rFonts w:ascii="Arial" w:hAnsi="Arial" w:cs="Arial"/>
          <w:sz w:val="22"/>
          <w:szCs w:val="22"/>
        </w:rPr>
        <w:t>perchloroethylene</w:t>
      </w:r>
      <w:r w:rsidR="005625EB" w:rsidRPr="00EC358E">
        <w:rPr>
          <w:rFonts w:ascii="Arial" w:hAnsi="Arial" w:cs="Arial"/>
          <w:sz w:val="22"/>
          <w:szCs w:val="22"/>
        </w:rPr>
        <w:t xml:space="preserve">, </w:t>
      </w:r>
      <w:r w:rsidR="00D70CED" w:rsidRPr="00EC358E">
        <w:rPr>
          <w:rFonts w:ascii="Arial" w:hAnsi="Arial" w:cs="Arial"/>
          <w:sz w:val="22"/>
          <w:szCs w:val="22"/>
        </w:rPr>
        <w:t xml:space="preserve">and </w:t>
      </w:r>
      <w:r w:rsidR="005625EB" w:rsidRPr="00EC358E">
        <w:rPr>
          <w:rFonts w:ascii="Arial" w:hAnsi="Arial" w:cs="Arial"/>
          <w:sz w:val="22"/>
          <w:szCs w:val="22"/>
        </w:rPr>
        <w:t xml:space="preserve">metalworking </w:t>
      </w:r>
      <w:r w:rsidR="00D70CED" w:rsidRPr="00EC358E">
        <w:rPr>
          <w:rFonts w:ascii="Arial" w:hAnsi="Arial" w:cs="Arial"/>
          <w:sz w:val="22"/>
          <w:szCs w:val="22"/>
        </w:rPr>
        <w:t>fluids. Environmental</w:t>
      </w:r>
      <w:r w:rsidR="0084713B" w:rsidRPr="00EC358E">
        <w:rPr>
          <w:rFonts w:ascii="Arial" w:hAnsi="Arial" w:cs="Arial"/>
          <w:sz w:val="22"/>
          <w:szCs w:val="22"/>
        </w:rPr>
        <w:t xml:space="preserve"> exposure to carcinogens and the genetically has a significant role in the development of BC.</w:t>
      </w:r>
    </w:p>
    <w:p w:rsidR="00592459" w:rsidRPr="00EC358E" w:rsidRDefault="00592459" w:rsidP="008963EB">
      <w:pPr>
        <w:pStyle w:val="Textoindependiente"/>
        <w:spacing w:before="90" w:line="360" w:lineRule="auto"/>
        <w:ind w:left="100"/>
        <w:jc w:val="both"/>
        <w:rPr>
          <w:rFonts w:ascii="Arial" w:hAnsi="Arial" w:cs="Arial"/>
          <w:sz w:val="22"/>
          <w:szCs w:val="22"/>
        </w:rPr>
      </w:pPr>
      <w:r w:rsidRPr="00EC358E">
        <w:rPr>
          <w:rFonts w:ascii="Arial" w:hAnsi="Arial" w:cs="Arial"/>
          <w:sz w:val="22"/>
          <w:szCs w:val="22"/>
        </w:rPr>
        <w:t>Cystoscopy is the gold standard for the diagnosis and staging of BC</w:t>
      </w:r>
      <w:r w:rsidR="008D1488" w:rsidRPr="00EC358E">
        <w:rPr>
          <w:rFonts w:ascii="Arial" w:hAnsi="Arial" w:cs="Arial"/>
          <w:sz w:val="22"/>
          <w:szCs w:val="22"/>
        </w:rPr>
        <w:t>, laboratory studies should include urinalysis, cytology, MRI, and TC.</w:t>
      </w:r>
    </w:p>
    <w:p w:rsidR="00CA44D4" w:rsidRPr="00EC358E" w:rsidRDefault="00C526EC" w:rsidP="008963EB">
      <w:pPr>
        <w:pStyle w:val="Ttulo3"/>
        <w:spacing w:before="74" w:line="360" w:lineRule="auto"/>
        <w:jc w:val="both"/>
        <w:rPr>
          <w:b w:val="0"/>
          <w:bCs w:val="0"/>
          <w:color w:val="232323"/>
          <w:sz w:val="22"/>
          <w:szCs w:val="22"/>
          <w:shd w:val="clear" w:color="auto" w:fill="FFFFFF"/>
        </w:rPr>
      </w:pPr>
      <w:r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>The treatment and prognosis of bladder cancer depend upon its stage, its grade, and the risk that the cancer will recur</w:t>
      </w:r>
      <w:r w:rsidR="00AE508C"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 xml:space="preserve">. Patients with non-muscle invasive cancer (Ta, Tis, T1) </w:t>
      </w:r>
      <w:r w:rsidR="00AE508C"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 xml:space="preserve">are treated conservatively with intravesical chemotherapy and resection of the masses, while </w:t>
      </w:r>
      <w:r w:rsidR="00AE508C"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>muscle-invasive</w:t>
      </w:r>
      <w:r w:rsidR="00AE508C"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 xml:space="preserve"> cancer requires a more radical treatment such as total bladder resection</w:t>
      </w:r>
      <w:r w:rsidR="00A123B9"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>, systemic chemotherapy, and radiation therapy.</w:t>
      </w:r>
    </w:p>
    <w:p w:rsidR="009463D0" w:rsidRPr="00EC358E" w:rsidRDefault="00CA44D4" w:rsidP="008963EB">
      <w:pPr>
        <w:pStyle w:val="Ttulo3"/>
        <w:spacing w:before="74" w:line="360" w:lineRule="auto"/>
        <w:jc w:val="both"/>
        <w:rPr>
          <w:b w:val="0"/>
          <w:bCs w:val="0"/>
          <w:color w:val="232323"/>
          <w:sz w:val="22"/>
          <w:szCs w:val="22"/>
          <w:shd w:val="clear" w:color="auto" w:fill="FFFFFF"/>
        </w:rPr>
      </w:pPr>
      <w:r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 xml:space="preserve">The oncological control of </w:t>
      </w:r>
      <w:r w:rsidR="001E3CD7"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>non-muscle invasive cancer</w:t>
      </w:r>
      <w:r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 xml:space="preserve"> is far from satisfactory, with a 1-year recurrence rate of 15–61%, and a 5-year recurrence rate of 31–78%. Various recurrence mechanisms have been described for </w:t>
      </w:r>
      <w:r w:rsidR="001E3CD7"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>non-muscle invasive cancer</w:t>
      </w:r>
      <w:r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 xml:space="preserve">, such as undetected </w:t>
      </w:r>
      <w:r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>tumors</w:t>
      </w:r>
      <w:r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 xml:space="preserve"> upon cystoscopy, incomplete resection during </w:t>
      </w:r>
      <w:r w:rsidR="001E3CD7" w:rsidRPr="00EC358E">
        <w:rPr>
          <w:b w:val="0"/>
          <w:bCs w:val="0"/>
          <w:color w:val="202124"/>
          <w:sz w:val="22"/>
          <w:szCs w:val="22"/>
          <w:shd w:val="clear" w:color="auto" w:fill="FFFFFF"/>
        </w:rPr>
        <w:t>Transurethral Resection of Bladder Tumor</w:t>
      </w:r>
      <w:r w:rsidR="001E3CD7" w:rsidRPr="00EC358E">
        <w:rPr>
          <w:b w:val="0"/>
          <w:bCs w:val="0"/>
          <w:color w:val="202124"/>
          <w:sz w:val="22"/>
          <w:szCs w:val="22"/>
          <w:shd w:val="clear" w:color="auto" w:fill="FFFFFF"/>
        </w:rPr>
        <w:t xml:space="preserve"> (TURBT)</w:t>
      </w:r>
      <w:r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 xml:space="preserve">, </w:t>
      </w:r>
      <w:r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>tumor</w:t>
      </w:r>
      <w:r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 xml:space="preserve"> re-implantation after TURBT, drop metastasis from upper tract urothelial carcinoma</w:t>
      </w:r>
      <w:r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>,</w:t>
      </w:r>
      <w:r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 xml:space="preserve"> and field change cancerization.</w:t>
      </w:r>
    </w:p>
    <w:p w:rsidR="00EC358E" w:rsidRPr="00EC358E" w:rsidRDefault="009463D0" w:rsidP="00EC358E">
      <w:pPr>
        <w:pStyle w:val="Ttulo3"/>
        <w:spacing w:before="74" w:line="360" w:lineRule="auto"/>
        <w:jc w:val="both"/>
        <w:rPr>
          <w:b w:val="0"/>
          <w:bCs w:val="0"/>
          <w:color w:val="232323"/>
          <w:sz w:val="22"/>
          <w:szCs w:val="22"/>
          <w:shd w:val="clear" w:color="auto" w:fill="FFFFFF"/>
          <w:lang w:val="es-MX"/>
        </w:rPr>
      </w:pPr>
      <w:r w:rsidRPr="00EC358E">
        <w:rPr>
          <w:b w:val="0"/>
          <w:bCs w:val="0"/>
          <w:color w:val="232323"/>
          <w:sz w:val="22"/>
          <w:szCs w:val="22"/>
          <w:shd w:val="clear" w:color="auto" w:fill="FFFFFF"/>
          <w:lang w:val="es-MX"/>
        </w:rPr>
        <w:t>I</w:t>
      </w:r>
      <w:r w:rsidRPr="009463D0">
        <w:rPr>
          <w:b w:val="0"/>
          <w:bCs w:val="0"/>
          <w:color w:val="232323"/>
          <w:sz w:val="22"/>
          <w:szCs w:val="22"/>
          <w:shd w:val="clear" w:color="auto" w:fill="FFFFFF"/>
          <w:lang w:val="es-MX"/>
        </w:rPr>
        <w:t>mprovements in molecular biology and our understanding of tumorigenesis open the era of personalized medicine in bladder cancer.</w:t>
      </w:r>
    </w:p>
    <w:p w:rsidR="00EC358E" w:rsidRPr="00EC358E" w:rsidRDefault="00EC358E" w:rsidP="00EC358E">
      <w:pPr>
        <w:pStyle w:val="Ttulo3"/>
        <w:spacing w:before="74" w:line="360" w:lineRule="auto"/>
        <w:jc w:val="both"/>
        <w:rPr>
          <w:b w:val="0"/>
          <w:bCs w:val="0"/>
          <w:color w:val="232323"/>
          <w:sz w:val="22"/>
          <w:szCs w:val="22"/>
          <w:shd w:val="clear" w:color="auto" w:fill="FFFFFF"/>
        </w:rPr>
      </w:pPr>
      <w:r w:rsidRPr="00EC358E">
        <w:rPr>
          <w:b w:val="0"/>
          <w:bCs w:val="0"/>
          <w:sz w:val="22"/>
          <w:szCs w:val="22"/>
        </w:rPr>
        <w:t>Q</w:t>
      </w:r>
      <w:r w:rsidRPr="00EC358E">
        <w:rPr>
          <w:b w:val="0"/>
          <w:bCs w:val="0"/>
          <w:sz w:val="22"/>
          <w:szCs w:val="22"/>
        </w:rPr>
        <w:t xml:space="preserve">uantitative analysis of tumor buds using automated slide analysis can provide an alternative staging model with prognostic value for </w:t>
      </w:r>
      <w:r w:rsidRPr="00EC358E">
        <w:rPr>
          <w:b w:val="0"/>
          <w:bCs w:val="0"/>
          <w:sz w:val="22"/>
          <w:szCs w:val="22"/>
        </w:rPr>
        <w:t>muscle-invasive bladder cancer</w:t>
      </w:r>
      <w:r w:rsidRPr="00EC358E">
        <w:rPr>
          <w:b w:val="0"/>
          <w:bCs w:val="0"/>
          <w:sz w:val="22"/>
          <w:szCs w:val="22"/>
        </w:rPr>
        <w:t xml:space="preserve"> patients. </w:t>
      </w:r>
    </w:p>
    <w:p w:rsidR="00AE3E37" w:rsidRPr="00EC358E" w:rsidRDefault="009121A2" w:rsidP="00EC358E">
      <w:pPr>
        <w:pStyle w:val="Ttulo3"/>
        <w:spacing w:before="74" w:line="360" w:lineRule="auto"/>
        <w:jc w:val="both"/>
        <w:rPr>
          <w:b w:val="0"/>
          <w:bCs w:val="0"/>
          <w:color w:val="232323"/>
          <w:sz w:val="22"/>
          <w:szCs w:val="22"/>
          <w:shd w:val="clear" w:color="auto" w:fill="FFFFFF"/>
        </w:rPr>
      </w:pPr>
      <w:r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 xml:space="preserve">Future trends are likely to use artificial intelligence (AI) to enhance the prediction of recurrence in patients with </w:t>
      </w:r>
      <w:r w:rsidR="009463D0"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>non-muscle invasive bladder cancer</w:t>
      </w:r>
      <w:r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 xml:space="preserve"> and decrease the use of standard clinical protocols such as cystoscopy and cytology.</w:t>
      </w:r>
      <w:r w:rsidR="009463D0" w:rsidRPr="00EC358E">
        <w:rPr>
          <w:b w:val="0"/>
          <w:bCs w:val="0"/>
          <w:color w:val="232323"/>
          <w:sz w:val="22"/>
          <w:szCs w:val="22"/>
          <w:shd w:val="clear" w:color="auto" w:fill="FFFFFF"/>
        </w:rPr>
        <w:t xml:space="preserve"> </w:t>
      </w:r>
    </w:p>
    <w:p w:rsidR="005973B9" w:rsidRPr="009463D0" w:rsidRDefault="005973B9" w:rsidP="00C526EC">
      <w:pPr>
        <w:spacing w:line="204" w:lineRule="exact"/>
        <w:jc w:val="both"/>
        <w:rPr>
          <w:rFonts w:ascii="Arial"/>
          <w:b/>
          <w:sz w:val="24"/>
          <w:szCs w:val="32"/>
        </w:rPr>
      </w:pPr>
      <w:r>
        <w:rPr>
          <w:rFonts w:ascii="Arial"/>
          <w:b/>
          <w:color w:val="BF5A14"/>
          <w:sz w:val="20"/>
        </w:rPr>
        <w:br/>
      </w:r>
      <w:r w:rsidR="009121A2" w:rsidRPr="009463D0">
        <w:rPr>
          <w:rFonts w:ascii="Arial"/>
          <w:b/>
          <w:color w:val="BF5A14"/>
          <w:sz w:val="24"/>
          <w:szCs w:val="32"/>
        </w:rPr>
        <w:t>Bibliography</w:t>
      </w:r>
    </w:p>
    <w:p w:rsidR="00DF09AA" w:rsidRPr="00FF3BBD" w:rsidRDefault="00DF09AA" w:rsidP="00C526EC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F3BBD">
        <w:rPr>
          <w:color w:val="000000"/>
          <w:sz w:val="22"/>
          <w:szCs w:val="22"/>
        </w:rPr>
        <w:t>Jubber, I., Ong, S., Bukavina, L., Black, P. C.,</w:t>
      </w:r>
      <w:r w:rsidRPr="00FF3BBD">
        <w:rPr>
          <w:color w:val="000000"/>
          <w:sz w:val="22"/>
          <w:szCs w:val="22"/>
        </w:rPr>
        <w:t xml:space="preserve"> </w:t>
      </w:r>
      <w:r w:rsidRPr="00FF3BBD">
        <w:rPr>
          <w:color w:val="000000"/>
          <w:sz w:val="22"/>
          <w:szCs w:val="22"/>
        </w:rPr>
        <w:t>Compérat, E., Kamat, A., Kiemeney, L., Lawrentschuk, N., Lerner, S. P., Meeks, J. J., Moch, H., Necchi, A., Panebianco, V., Sridhar, S. S., Znaor, A., Catto, J. W., &amp; Cumberbatch, M. G. (2023). Epidemiology of Bladder Cancer in 2023: A Systematic Review of Risk Factors.</w:t>
      </w:r>
      <w:r w:rsidRPr="00FF3BBD">
        <w:rPr>
          <w:rStyle w:val="apple-converted-space"/>
          <w:color w:val="000000"/>
          <w:sz w:val="22"/>
          <w:szCs w:val="22"/>
        </w:rPr>
        <w:t> </w:t>
      </w:r>
      <w:r w:rsidRPr="00FF3BBD">
        <w:rPr>
          <w:i/>
          <w:iCs/>
          <w:color w:val="000000"/>
          <w:sz w:val="22"/>
          <w:szCs w:val="22"/>
        </w:rPr>
        <w:t>European Urology</w:t>
      </w:r>
      <w:r w:rsidRPr="00FF3BBD">
        <w:rPr>
          <w:color w:val="000000"/>
          <w:sz w:val="22"/>
          <w:szCs w:val="22"/>
        </w:rPr>
        <w:t>.</w:t>
      </w:r>
      <w:r w:rsidRPr="00FF3BBD">
        <w:rPr>
          <w:rStyle w:val="apple-converted-space"/>
          <w:color w:val="000000"/>
          <w:sz w:val="22"/>
          <w:szCs w:val="22"/>
        </w:rPr>
        <w:t> </w:t>
      </w:r>
      <w:r w:rsidRPr="00FF3BBD">
        <w:rPr>
          <w:color w:val="000000"/>
          <w:sz w:val="22"/>
          <w:szCs w:val="22"/>
        </w:rPr>
        <w:fldChar w:fldCharType="begin"/>
      </w:r>
      <w:r w:rsidRPr="00FF3BBD">
        <w:rPr>
          <w:color w:val="000000"/>
          <w:sz w:val="22"/>
          <w:szCs w:val="22"/>
        </w:rPr>
        <w:instrText>HYPERLINK "</w:instrText>
      </w:r>
      <w:r w:rsidRPr="00FF3BBD">
        <w:rPr>
          <w:color w:val="000000"/>
          <w:sz w:val="22"/>
          <w:szCs w:val="22"/>
        </w:rPr>
        <w:instrText>https://doi.org/10.1016/j.eururo.2023.03.029</w:instrText>
      </w:r>
      <w:r w:rsidRPr="00FF3BBD">
        <w:rPr>
          <w:color w:val="000000"/>
          <w:sz w:val="22"/>
          <w:szCs w:val="22"/>
        </w:rPr>
        <w:instrText>"</w:instrText>
      </w:r>
      <w:r w:rsidRPr="00FF3BBD">
        <w:rPr>
          <w:color w:val="000000"/>
          <w:sz w:val="22"/>
          <w:szCs w:val="22"/>
        </w:rPr>
        <w:fldChar w:fldCharType="separate"/>
      </w:r>
      <w:r w:rsidRPr="00FF3BBD">
        <w:rPr>
          <w:rStyle w:val="Hipervnculo"/>
          <w:sz w:val="22"/>
          <w:szCs w:val="22"/>
        </w:rPr>
        <w:t>https://doi.org/10.1016/j.eururo.2023.03.029</w:t>
      </w:r>
      <w:r w:rsidRPr="00FF3BBD">
        <w:rPr>
          <w:color w:val="000000"/>
          <w:sz w:val="22"/>
          <w:szCs w:val="22"/>
        </w:rPr>
        <w:fldChar w:fldCharType="end"/>
      </w:r>
    </w:p>
    <w:p w:rsidR="00DF09AA" w:rsidRPr="00FF3BBD" w:rsidRDefault="00DF09AA" w:rsidP="00C526EC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F3BBD">
        <w:rPr>
          <w:color w:val="000000"/>
          <w:sz w:val="22"/>
          <w:szCs w:val="22"/>
        </w:rPr>
        <w:t>Lobo, N., Afferi, L., Moschini, M., Mostafid, H., Porten, S., Porten, S. P., Gupta, S., Smith, A. B., Williams, S. B., &amp; Lotan, Y. (2022). Epidemiology, screening, and prevention of bladder Cancer.</w:t>
      </w:r>
      <w:r w:rsidRPr="00FF3BBD">
        <w:rPr>
          <w:rStyle w:val="apple-converted-space"/>
          <w:color w:val="000000"/>
          <w:sz w:val="22"/>
          <w:szCs w:val="22"/>
        </w:rPr>
        <w:t> </w:t>
      </w:r>
      <w:r w:rsidRPr="00FF3BBD">
        <w:rPr>
          <w:i/>
          <w:iCs/>
          <w:color w:val="000000"/>
          <w:sz w:val="22"/>
          <w:szCs w:val="22"/>
        </w:rPr>
        <w:t>European Urology Oncology</w:t>
      </w:r>
      <w:r w:rsidRPr="00FF3BBD">
        <w:rPr>
          <w:color w:val="000000"/>
          <w:sz w:val="22"/>
          <w:szCs w:val="22"/>
        </w:rPr>
        <w:t>,</w:t>
      </w:r>
      <w:r w:rsidRPr="00FF3BBD">
        <w:rPr>
          <w:rStyle w:val="apple-converted-space"/>
          <w:color w:val="000000"/>
          <w:sz w:val="22"/>
          <w:szCs w:val="22"/>
        </w:rPr>
        <w:t> </w:t>
      </w:r>
      <w:r w:rsidRPr="00FF3BBD">
        <w:rPr>
          <w:i/>
          <w:iCs/>
          <w:color w:val="000000"/>
          <w:sz w:val="22"/>
          <w:szCs w:val="22"/>
        </w:rPr>
        <w:t>5</w:t>
      </w:r>
      <w:r w:rsidRPr="00FF3BBD">
        <w:rPr>
          <w:color w:val="000000"/>
          <w:sz w:val="22"/>
          <w:szCs w:val="22"/>
        </w:rPr>
        <w:t>(6), 628–639.</w:t>
      </w:r>
      <w:r w:rsidRPr="00FF3BBD">
        <w:rPr>
          <w:rStyle w:val="apple-converted-space"/>
          <w:color w:val="000000"/>
          <w:sz w:val="22"/>
          <w:szCs w:val="22"/>
        </w:rPr>
        <w:t> </w:t>
      </w:r>
      <w:r w:rsidRPr="00FF3BBD">
        <w:rPr>
          <w:color w:val="000000"/>
          <w:sz w:val="22"/>
          <w:szCs w:val="22"/>
        </w:rPr>
        <w:t>https://doi.org/10.1016/j.euo.2022.10.003</w:t>
      </w:r>
    </w:p>
    <w:p w:rsidR="004F7299" w:rsidRPr="00FF3BBD" w:rsidRDefault="004F7299" w:rsidP="00C526EC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F3BBD">
        <w:rPr>
          <w:color w:val="000000"/>
          <w:sz w:val="22"/>
          <w:szCs w:val="22"/>
        </w:rPr>
        <w:t>Daneshmand, S. (2023). Epidemiology and risk factors of urothelial (transitional cell) carcinoma of the bladder.</w:t>
      </w:r>
      <w:r w:rsidRPr="00FF3BBD">
        <w:rPr>
          <w:rStyle w:val="apple-converted-space"/>
          <w:color w:val="000000"/>
          <w:sz w:val="22"/>
          <w:szCs w:val="22"/>
        </w:rPr>
        <w:t> </w:t>
      </w:r>
      <w:r w:rsidRPr="00FF3BBD">
        <w:rPr>
          <w:i/>
          <w:iCs/>
          <w:color w:val="000000"/>
          <w:sz w:val="22"/>
          <w:szCs w:val="22"/>
        </w:rPr>
        <w:t>UpToDate</w:t>
      </w:r>
      <w:r w:rsidRPr="00FF3BBD">
        <w:rPr>
          <w:color w:val="000000"/>
          <w:sz w:val="22"/>
          <w:szCs w:val="22"/>
        </w:rPr>
        <w:t>.</w:t>
      </w:r>
      <w:r w:rsidRPr="00FF3BBD">
        <w:rPr>
          <w:rStyle w:val="apple-converted-space"/>
          <w:color w:val="000000"/>
          <w:sz w:val="22"/>
          <w:szCs w:val="22"/>
        </w:rPr>
        <w:t> </w:t>
      </w:r>
      <w:r w:rsidRPr="00FF3BBD">
        <w:rPr>
          <w:color w:val="000000"/>
          <w:sz w:val="22"/>
          <w:szCs w:val="22"/>
        </w:rPr>
        <w:t>https://www.uptodate.com/contents/epidemiology-and-risk-factors-of-urothelial-transitional-cell-carcinoma-of-the-bladder</w:t>
      </w:r>
    </w:p>
    <w:p w:rsidR="001C725E" w:rsidRPr="00FF3BBD" w:rsidRDefault="001C725E" w:rsidP="00C526EC">
      <w:pPr>
        <w:pStyle w:val="Prrafodelista"/>
        <w:widowControl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eastAsiaTheme="minorHAnsi" w:hAnsi="Times New Roman" w:cs="Times New Roman"/>
          <w:lang w:val="es-MX"/>
        </w:rPr>
      </w:pPr>
      <w:r w:rsidRPr="00FF3BBD">
        <w:rPr>
          <w:rFonts w:ascii="Times New Roman" w:eastAsiaTheme="minorHAnsi" w:hAnsi="Times New Roman" w:cs="Times New Roman"/>
          <w:lang w:val="es-MX"/>
        </w:rPr>
        <w:t xml:space="preserve">Lenis, A. T., Lec, P. M., Chamie, K., &amp; MSHS, MD. (2020). Bladder Cancer: A Review. </w:t>
      </w:r>
      <w:r w:rsidRPr="00FF3BBD">
        <w:rPr>
          <w:rFonts w:ascii="Times New Roman" w:eastAsiaTheme="minorHAnsi" w:hAnsi="Times New Roman" w:cs="Times New Roman"/>
          <w:i/>
          <w:iCs/>
          <w:lang w:val="es-MX"/>
        </w:rPr>
        <w:t>JAMA</w:t>
      </w:r>
      <w:r w:rsidRPr="00FF3BBD">
        <w:rPr>
          <w:rFonts w:ascii="Times New Roman" w:eastAsiaTheme="minorHAnsi" w:hAnsi="Times New Roman" w:cs="Times New Roman"/>
          <w:lang w:val="es-MX"/>
        </w:rPr>
        <w:t xml:space="preserve">, </w:t>
      </w:r>
      <w:r w:rsidRPr="00FF3BBD">
        <w:rPr>
          <w:rFonts w:ascii="Times New Roman" w:eastAsiaTheme="minorHAnsi" w:hAnsi="Times New Roman" w:cs="Times New Roman"/>
          <w:i/>
          <w:iCs/>
          <w:lang w:val="es-MX"/>
        </w:rPr>
        <w:t>324</w:t>
      </w:r>
      <w:r w:rsidRPr="00FF3BBD">
        <w:rPr>
          <w:rFonts w:ascii="Times New Roman" w:eastAsiaTheme="minorHAnsi" w:hAnsi="Times New Roman" w:cs="Times New Roman"/>
          <w:lang w:val="es-MX"/>
        </w:rPr>
        <w:t xml:space="preserve">(19), 1980–1991. </w:t>
      </w:r>
      <w:r w:rsidR="00CA44D4" w:rsidRPr="00FF3BBD">
        <w:rPr>
          <w:rFonts w:ascii="Times New Roman" w:eastAsiaTheme="minorHAnsi" w:hAnsi="Times New Roman" w:cs="Times New Roman"/>
          <w:lang w:val="es-MX"/>
        </w:rPr>
        <w:fldChar w:fldCharType="begin"/>
      </w:r>
      <w:r w:rsidR="00CA44D4" w:rsidRPr="00FF3BBD">
        <w:rPr>
          <w:rFonts w:ascii="Times New Roman" w:eastAsiaTheme="minorHAnsi" w:hAnsi="Times New Roman" w:cs="Times New Roman"/>
          <w:lang w:val="es-MX"/>
        </w:rPr>
        <w:instrText>HYPERLINK "</w:instrText>
      </w:r>
      <w:r w:rsidR="00CA44D4" w:rsidRPr="00FF3BBD">
        <w:rPr>
          <w:rFonts w:ascii="Times New Roman" w:eastAsiaTheme="minorHAnsi" w:hAnsi="Times New Roman" w:cs="Times New Roman"/>
          <w:lang w:val="es-MX"/>
        </w:rPr>
        <w:instrText>https://doi.org/10.1001/jama.2020.17598</w:instrText>
      </w:r>
      <w:r w:rsidR="00CA44D4" w:rsidRPr="00FF3BBD">
        <w:rPr>
          <w:rFonts w:ascii="Times New Roman" w:eastAsiaTheme="minorHAnsi" w:hAnsi="Times New Roman" w:cs="Times New Roman"/>
          <w:lang w:val="es-MX"/>
        </w:rPr>
        <w:instrText>"</w:instrText>
      </w:r>
      <w:r w:rsidR="00CA44D4" w:rsidRPr="00FF3BBD">
        <w:rPr>
          <w:rFonts w:ascii="Times New Roman" w:eastAsiaTheme="minorHAnsi" w:hAnsi="Times New Roman" w:cs="Times New Roman"/>
          <w:lang w:val="es-MX"/>
        </w:rPr>
        <w:fldChar w:fldCharType="separate"/>
      </w:r>
      <w:r w:rsidR="00CA44D4" w:rsidRPr="00FF3BBD">
        <w:rPr>
          <w:rStyle w:val="Hipervnculo"/>
          <w:rFonts w:ascii="Times New Roman" w:eastAsiaTheme="minorHAnsi" w:hAnsi="Times New Roman" w:cs="Times New Roman"/>
          <w:lang w:val="es-MX"/>
        </w:rPr>
        <w:t>https://doi.org/10.1001/jama.2020.17598</w:t>
      </w:r>
      <w:r w:rsidR="00CA44D4" w:rsidRPr="00FF3BBD">
        <w:rPr>
          <w:rFonts w:ascii="Times New Roman" w:eastAsiaTheme="minorHAnsi" w:hAnsi="Times New Roman" w:cs="Times New Roman"/>
          <w:lang w:val="es-MX"/>
        </w:rPr>
        <w:fldChar w:fldCharType="end"/>
      </w:r>
    </w:p>
    <w:p w:rsidR="00CA44D4" w:rsidRPr="00FF3BBD" w:rsidRDefault="00CA44D4" w:rsidP="00C526EC">
      <w:pPr>
        <w:pStyle w:val="Prrafodelista"/>
        <w:widowControl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eastAsiaTheme="minorHAnsi" w:hAnsi="Times New Roman" w:cs="Times New Roman"/>
          <w:lang w:val="es-MX"/>
        </w:rPr>
      </w:pPr>
      <w:r w:rsidRPr="00FF3BBD">
        <w:rPr>
          <w:rFonts w:ascii="Times New Roman" w:eastAsiaTheme="minorHAnsi" w:hAnsi="Times New Roman" w:cs="Times New Roman"/>
        </w:rPr>
        <w:t xml:space="preserve">Teoh, J.YC., </w:t>
      </w:r>
      <w:proofErr w:type="spellStart"/>
      <w:r w:rsidRPr="00FF3BBD">
        <w:rPr>
          <w:rFonts w:ascii="Times New Roman" w:eastAsiaTheme="minorHAnsi" w:hAnsi="Times New Roman" w:cs="Times New Roman"/>
        </w:rPr>
        <w:t>Kamat</w:t>
      </w:r>
      <w:proofErr w:type="spellEnd"/>
      <w:r w:rsidRPr="00FF3BBD">
        <w:rPr>
          <w:rFonts w:ascii="Times New Roman" w:eastAsiaTheme="minorHAnsi" w:hAnsi="Times New Roman" w:cs="Times New Roman"/>
        </w:rPr>
        <w:t>, A.M., Black, P.C. </w:t>
      </w:r>
      <w:r w:rsidRPr="00FF3BBD">
        <w:rPr>
          <w:rFonts w:ascii="Times New Roman" w:eastAsiaTheme="minorHAnsi" w:hAnsi="Times New Roman" w:cs="Times New Roman"/>
          <w:i/>
          <w:iCs/>
        </w:rPr>
        <w:t>et al.</w:t>
      </w:r>
      <w:r w:rsidRPr="00FF3BBD">
        <w:rPr>
          <w:rFonts w:ascii="Times New Roman" w:eastAsiaTheme="minorHAnsi" w:hAnsi="Times New Roman" w:cs="Times New Roman"/>
        </w:rPr>
        <w:t> Recurrence mechanisms of non-muscle-invasive bladder cancer — a clinical perspective. </w:t>
      </w:r>
      <w:r w:rsidRPr="00FF3BBD">
        <w:rPr>
          <w:rFonts w:ascii="Times New Roman" w:eastAsiaTheme="minorHAnsi" w:hAnsi="Times New Roman" w:cs="Times New Roman"/>
          <w:i/>
          <w:iCs/>
        </w:rPr>
        <w:t xml:space="preserve">Nat Rev </w:t>
      </w:r>
      <w:proofErr w:type="spellStart"/>
      <w:r w:rsidRPr="00FF3BBD">
        <w:rPr>
          <w:rFonts w:ascii="Times New Roman" w:eastAsiaTheme="minorHAnsi" w:hAnsi="Times New Roman" w:cs="Times New Roman"/>
          <w:i/>
          <w:iCs/>
        </w:rPr>
        <w:t>Urol</w:t>
      </w:r>
      <w:proofErr w:type="spellEnd"/>
      <w:r w:rsidRPr="00FF3BBD">
        <w:rPr>
          <w:rFonts w:ascii="Times New Roman" w:eastAsiaTheme="minorHAnsi" w:hAnsi="Times New Roman" w:cs="Times New Roman"/>
        </w:rPr>
        <w:t> </w:t>
      </w:r>
      <w:r w:rsidRPr="00FF3BBD">
        <w:rPr>
          <w:rFonts w:ascii="Times New Roman" w:eastAsiaTheme="minorHAnsi" w:hAnsi="Times New Roman" w:cs="Times New Roman"/>
          <w:b/>
          <w:bCs/>
        </w:rPr>
        <w:t>19</w:t>
      </w:r>
      <w:r w:rsidRPr="00FF3BBD">
        <w:rPr>
          <w:rFonts w:ascii="Times New Roman" w:eastAsiaTheme="minorHAnsi" w:hAnsi="Times New Roman" w:cs="Times New Roman"/>
        </w:rPr>
        <w:t xml:space="preserve">, 280–294 (2022). </w:t>
      </w:r>
      <w:hyperlink r:id="rId9" w:history="1">
        <w:r w:rsidR="009121A2" w:rsidRPr="00FF3BBD">
          <w:rPr>
            <w:rStyle w:val="Hipervnculo"/>
            <w:rFonts w:ascii="Times New Roman" w:eastAsiaTheme="minorHAnsi" w:hAnsi="Times New Roman" w:cs="Times New Roman"/>
          </w:rPr>
          <w:t>https://doi.org/10.1038/s41585-022-00578-1</w:t>
        </w:r>
      </w:hyperlink>
    </w:p>
    <w:p w:rsidR="009121A2" w:rsidRPr="00FF3BBD" w:rsidRDefault="009121A2" w:rsidP="00C526EC">
      <w:pPr>
        <w:pStyle w:val="Prrafodelista"/>
        <w:widowControl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eastAsiaTheme="minorHAnsi" w:hAnsi="Times New Roman" w:cs="Times New Roman"/>
          <w:lang w:val="es-MX"/>
        </w:rPr>
      </w:pPr>
      <w:proofErr w:type="spellStart"/>
      <w:r w:rsidRPr="00FF3BBD">
        <w:rPr>
          <w:rFonts w:ascii="Times New Roman" w:eastAsiaTheme="minorHAnsi" w:hAnsi="Times New Roman" w:cs="Times New Roman"/>
        </w:rPr>
        <w:lastRenderedPageBreak/>
        <w:t>Dobruch</w:t>
      </w:r>
      <w:proofErr w:type="spellEnd"/>
      <w:r w:rsidRPr="00FF3BBD">
        <w:rPr>
          <w:rFonts w:ascii="Times New Roman" w:eastAsiaTheme="minorHAnsi" w:hAnsi="Times New Roman" w:cs="Times New Roman"/>
        </w:rPr>
        <w:t xml:space="preserve">, J., &amp; </w:t>
      </w:r>
      <w:proofErr w:type="spellStart"/>
      <w:r w:rsidRPr="00FF3BBD">
        <w:rPr>
          <w:rFonts w:ascii="Times New Roman" w:eastAsiaTheme="minorHAnsi" w:hAnsi="Times New Roman" w:cs="Times New Roman"/>
        </w:rPr>
        <w:t>Oszczudłowski</w:t>
      </w:r>
      <w:proofErr w:type="spellEnd"/>
      <w:r w:rsidRPr="00FF3BBD">
        <w:rPr>
          <w:rFonts w:ascii="Times New Roman" w:eastAsiaTheme="minorHAnsi" w:hAnsi="Times New Roman" w:cs="Times New Roman"/>
        </w:rPr>
        <w:t>, M. Bladder Cancer: Current Challenges and Future Directions. </w:t>
      </w:r>
      <w:proofErr w:type="spellStart"/>
      <w:r w:rsidRPr="00FF3BBD">
        <w:rPr>
          <w:rFonts w:ascii="Times New Roman" w:eastAsiaTheme="minorHAnsi" w:hAnsi="Times New Roman" w:cs="Times New Roman"/>
          <w:i/>
          <w:iCs/>
        </w:rPr>
        <w:t>Medicina</w:t>
      </w:r>
      <w:proofErr w:type="spellEnd"/>
      <w:r w:rsidRPr="00FF3BBD">
        <w:rPr>
          <w:rFonts w:ascii="Times New Roman" w:eastAsiaTheme="minorHAnsi" w:hAnsi="Times New Roman" w:cs="Times New Roman"/>
        </w:rPr>
        <w:t>, </w:t>
      </w:r>
      <w:r w:rsidRPr="00FF3BBD">
        <w:rPr>
          <w:rFonts w:ascii="Times New Roman" w:eastAsiaTheme="minorHAnsi" w:hAnsi="Times New Roman" w:cs="Times New Roman"/>
          <w:i/>
          <w:iCs/>
        </w:rPr>
        <w:t>57</w:t>
      </w:r>
      <w:r w:rsidRPr="00FF3BBD">
        <w:rPr>
          <w:rFonts w:ascii="Times New Roman" w:eastAsiaTheme="minorHAnsi" w:hAnsi="Times New Roman" w:cs="Times New Roman"/>
        </w:rPr>
        <w:t xml:space="preserve">(8), 749. </w:t>
      </w:r>
      <w:hyperlink r:id="rId10" w:history="1">
        <w:r w:rsidR="009463D0" w:rsidRPr="00FF3BBD">
          <w:rPr>
            <w:rStyle w:val="Hipervnculo"/>
            <w:rFonts w:ascii="Times New Roman" w:eastAsiaTheme="minorHAnsi" w:hAnsi="Times New Roman" w:cs="Times New Roman"/>
          </w:rPr>
          <w:t>https://doi.org/10.3390/medicina57080749</w:t>
        </w:r>
      </w:hyperlink>
    </w:p>
    <w:p w:rsidR="009463D0" w:rsidRPr="00FF3BBD" w:rsidRDefault="009463D0" w:rsidP="00C526EC">
      <w:pPr>
        <w:pStyle w:val="Prrafodelista"/>
        <w:widowControl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eastAsiaTheme="minorHAnsi" w:hAnsi="Times New Roman" w:cs="Times New Roman"/>
          <w:lang w:val="es-MX"/>
        </w:rPr>
      </w:pPr>
      <w:proofErr w:type="spellStart"/>
      <w:r w:rsidRPr="00FF3BBD">
        <w:rPr>
          <w:rFonts w:ascii="Times New Roman" w:eastAsiaTheme="minorHAnsi" w:hAnsi="Times New Roman" w:cs="Times New Roman"/>
        </w:rPr>
        <w:t>Shalata</w:t>
      </w:r>
      <w:proofErr w:type="spellEnd"/>
      <w:r w:rsidRPr="00FF3BBD">
        <w:rPr>
          <w:rFonts w:ascii="Times New Roman" w:eastAsiaTheme="minorHAnsi" w:hAnsi="Times New Roman" w:cs="Times New Roman"/>
        </w:rPr>
        <w:t xml:space="preserve"> AT, Shehata M, Van Bogaert E, Ali KM, </w:t>
      </w:r>
      <w:proofErr w:type="spellStart"/>
      <w:r w:rsidRPr="00FF3BBD">
        <w:rPr>
          <w:rFonts w:ascii="Times New Roman" w:eastAsiaTheme="minorHAnsi" w:hAnsi="Times New Roman" w:cs="Times New Roman"/>
        </w:rPr>
        <w:t>Alksas</w:t>
      </w:r>
      <w:proofErr w:type="spellEnd"/>
      <w:r w:rsidRPr="00FF3BBD">
        <w:rPr>
          <w:rFonts w:ascii="Times New Roman" w:eastAsiaTheme="minorHAnsi" w:hAnsi="Times New Roman" w:cs="Times New Roman"/>
        </w:rPr>
        <w:t xml:space="preserve"> A, Mahmoud A, El-</w:t>
      </w:r>
      <w:proofErr w:type="spellStart"/>
      <w:r w:rsidRPr="00FF3BBD">
        <w:rPr>
          <w:rFonts w:ascii="Times New Roman" w:eastAsiaTheme="minorHAnsi" w:hAnsi="Times New Roman" w:cs="Times New Roman"/>
        </w:rPr>
        <w:t>Gendy</w:t>
      </w:r>
      <w:proofErr w:type="spellEnd"/>
      <w:r w:rsidRPr="00FF3BBD">
        <w:rPr>
          <w:rFonts w:ascii="Times New Roman" w:eastAsiaTheme="minorHAnsi" w:hAnsi="Times New Roman" w:cs="Times New Roman"/>
        </w:rPr>
        <w:t xml:space="preserve"> EM, Mohamed MA, </w:t>
      </w:r>
      <w:proofErr w:type="spellStart"/>
      <w:r w:rsidRPr="00FF3BBD">
        <w:rPr>
          <w:rFonts w:ascii="Times New Roman" w:eastAsiaTheme="minorHAnsi" w:hAnsi="Times New Roman" w:cs="Times New Roman"/>
        </w:rPr>
        <w:t>Giridharan</w:t>
      </w:r>
      <w:proofErr w:type="spellEnd"/>
      <w:r w:rsidRPr="00FF3BBD">
        <w:rPr>
          <w:rFonts w:ascii="Times New Roman" w:eastAsiaTheme="minorHAnsi" w:hAnsi="Times New Roman" w:cs="Times New Roman"/>
        </w:rPr>
        <w:t xml:space="preserve"> GA, Contractor S, El-Baz A. Predicting Recurrence of Non-Muscle-Invasive Bladder Cancer: Current Techniques and Future Trends. Cancers (Basel). 2022 Oct 14;14(20):5019. </w:t>
      </w:r>
      <w:proofErr w:type="spellStart"/>
      <w:r w:rsidRPr="00FF3BBD">
        <w:rPr>
          <w:rFonts w:ascii="Times New Roman" w:eastAsiaTheme="minorHAnsi" w:hAnsi="Times New Roman" w:cs="Times New Roman"/>
        </w:rPr>
        <w:t>doi</w:t>
      </w:r>
      <w:proofErr w:type="spellEnd"/>
      <w:r w:rsidRPr="00FF3BBD">
        <w:rPr>
          <w:rFonts w:ascii="Times New Roman" w:eastAsiaTheme="minorHAnsi" w:hAnsi="Times New Roman" w:cs="Times New Roman"/>
        </w:rPr>
        <w:t>: 10.3390/cancers14205019. PMID: 36291803; PMCID: PMC9599984.</w:t>
      </w:r>
    </w:p>
    <w:p w:rsidR="009463D0" w:rsidRPr="009463D0" w:rsidRDefault="009463D0" w:rsidP="009463D0">
      <w:pPr>
        <w:pStyle w:val="Prrafodelista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Theme="minorHAnsi" w:hAnsi="Times New Roman" w:cs="Times New Roman"/>
          <w:lang w:val="es-MX"/>
        </w:rPr>
      </w:pPr>
      <w:r w:rsidRPr="009463D0">
        <w:rPr>
          <w:rFonts w:ascii="Times New Roman" w:eastAsiaTheme="minorHAnsi" w:hAnsi="Times New Roman" w:cs="Times New Roman"/>
          <w:lang w:val="es-MX"/>
        </w:rPr>
        <w:t xml:space="preserve">Ma J, Vaishnani DK, Lin R, Lyu J, Ni B, Zhang Y, Hu M, Chen G. Artificial intelligence in bladder cancer: current trends and future possibilities. Chin Med J 2022;135:881–882. doi: 10.1097/ CM9.0000000000001830 </w:t>
      </w:r>
    </w:p>
    <w:p w:rsidR="009463D0" w:rsidRPr="00FF3BBD" w:rsidRDefault="009463D0" w:rsidP="009463D0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lang w:val="es-MX"/>
        </w:rPr>
      </w:pPr>
    </w:p>
    <w:p w:rsidR="00DF09AA" w:rsidRPr="00FF3BBD" w:rsidRDefault="00DF09AA" w:rsidP="00C526EC">
      <w:pPr>
        <w:pStyle w:val="NormalWeb"/>
        <w:spacing w:before="0" w:beforeAutospacing="0" w:after="0" w:afterAutospacing="0"/>
        <w:ind w:left="360"/>
        <w:jc w:val="both"/>
        <w:rPr>
          <w:rFonts w:ascii="Tw Cen MT" w:hAnsi="Tw Cen MT"/>
          <w:color w:val="000000"/>
          <w:sz w:val="22"/>
          <w:szCs w:val="22"/>
        </w:rPr>
      </w:pPr>
    </w:p>
    <w:p w:rsidR="00AE3E37" w:rsidRPr="00FF3BBD" w:rsidRDefault="00AE3E37" w:rsidP="00C526EC">
      <w:pPr>
        <w:tabs>
          <w:tab w:val="left" w:pos="384"/>
        </w:tabs>
        <w:ind w:right="117"/>
        <w:jc w:val="both"/>
      </w:pPr>
    </w:p>
    <w:p w:rsidR="00AE3E37" w:rsidRPr="00FF3BBD" w:rsidRDefault="008756E6" w:rsidP="00C526EC">
      <w:pPr>
        <w:spacing w:line="200" w:lineRule="exact"/>
        <w:jc w:val="both"/>
        <w:rPr>
          <w:rFonts w:ascii="Calibri" w:hAnsi="Calibri"/>
        </w:rPr>
      </w:pPr>
      <w:r w:rsidRPr="00FF3BBD">
        <w:rPr>
          <w:rFonts w:ascii="Calibri" w:hAnsi="Calibri"/>
        </w:rPr>
        <w:t xml:space="preserve">   </w:t>
      </w: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Pr="00FF3BBD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Default="00EC358E" w:rsidP="00C526EC">
      <w:pPr>
        <w:spacing w:line="200" w:lineRule="exact"/>
        <w:jc w:val="both"/>
        <w:rPr>
          <w:rFonts w:ascii="Calibri" w:hAnsi="Calibri"/>
        </w:rPr>
      </w:pPr>
    </w:p>
    <w:p w:rsidR="00EC358E" w:rsidRDefault="00EC358E" w:rsidP="00C526EC">
      <w:pPr>
        <w:spacing w:line="200" w:lineRule="exact"/>
        <w:jc w:val="both"/>
        <w:rPr>
          <w:rFonts w:ascii="Calibri" w:hAnsi="Calibri"/>
        </w:rPr>
        <w:sectPr w:rsidR="00EC358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 w:rsidP="00C526EC">
      <w:pPr>
        <w:pStyle w:val="Textoindependiente"/>
        <w:jc w:val="both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</w:t>
      </w:r>
    </w:p>
    <w:p w:rsidR="00AE3E37" w:rsidRDefault="00292ED9" w:rsidP="00C526EC">
      <w:pPr>
        <w:pStyle w:val="Textoindependiente"/>
        <w:spacing w:line="40" w:lineRule="exact"/>
        <w:ind w:left="2202"/>
        <w:jc w:val="both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CF5080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E3E37" w:rsidRDefault="00A9710C" w:rsidP="00C526EC">
      <w:pPr>
        <w:spacing w:before="92"/>
        <w:ind w:right="4234"/>
        <w:jc w:val="both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91106B" w:rsidRPr="00FF3BBD" w:rsidRDefault="0091106B" w:rsidP="00FF3BBD">
      <w:pPr>
        <w:pStyle w:val="Norm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0" w:beforeAutospacing="0" w:after="300" w:afterAutospacing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FF3BBD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52070</wp:posOffset>
            </wp:positionH>
            <wp:positionV relativeFrom="paragraph">
              <wp:posOffset>50800</wp:posOffset>
            </wp:positionV>
            <wp:extent cx="925195" cy="925195"/>
            <wp:effectExtent l="0" t="0" r="1905" b="1905"/>
            <wp:wrapSquare wrapText="bothSides"/>
            <wp:docPr id="4667973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797397" name="Imagen 46679739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BBD">
        <w:rPr>
          <w:rFonts w:ascii="Arial" w:hAnsi="Arial" w:cs="Arial"/>
          <w:color w:val="000000" w:themeColor="text1"/>
          <w:sz w:val="16"/>
          <w:szCs w:val="16"/>
        </w:rPr>
        <w:t>Passionate about my profession, chess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t>,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t xml:space="preserve"> and music.</w:t>
      </w:r>
      <w:r w:rsidR="00FF3BBD" w:rsidRPr="00FF3BBD">
        <w:rPr>
          <w:rFonts w:ascii="Arial" w:hAnsi="Arial" w:cs="Arial"/>
          <w:color w:val="000000" w:themeColor="text1"/>
          <w:sz w:val="16"/>
          <w:szCs w:val="16"/>
        </w:rPr>
        <w:t xml:space="preserve"> A medical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t xml:space="preserve"> student in 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t>my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t xml:space="preserve"> fourth year and 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t xml:space="preserve">an 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t>entrepreneur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t xml:space="preserve">. 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br/>
      </w:r>
      <w:r w:rsidRPr="00FF3BBD">
        <w:rPr>
          <w:rFonts w:ascii="Arial" w:hAnsi="Arial" w:cs="Arial"/>
          <w:color w:val="000000" w:themeColor="text1"/>
          <w:sz w:val="16"/>
          <w:szCs w:val="16"/>
        </w:rPr>
        <w:t xml:space="preserve">Urology gives me a very broad view 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t>of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t xml:space="preserve"> how to practice medicine, helping my patients to prevent, treat and avoid the damage caused by cancer.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t xml:space="preserve"> As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t xml:space="preserve"> a medical student in my fourth year, I have been fortunate to explore various fields of medicine. However, it was during my rotations in urology that I found my true passion. Urology provided me with a comprehensive perspective on practicing medicine, allowing me to make a meaningful impact </w:t>
      </w:r>
      <w:r w:rsidR="00FF3BBD" w:rsidRPr="00FF3BBD">
        <w:rPr>
          <w:rFonts w:ascii="Arial" w:hAnsi="Arial" w:cs="Arial"/>
          <w:color w:val="000000" w:themeColor="text1"/>
          <w:sz w:val="16"/>
          <w:szCs w:val="16"/>
        </w:rPr>
        <w:t>on</w:t>
      </w:r>
      <w:r w:rsidRPr="00FF3BBD">
        <w:rPr>
          <w:rFonts w:ascii="Arial" w:hAnsi="Arial" w:cs="Arial"/>
          <w:color w:val="000000" w:themeColor="text1"/>
          <w:sz w:val="16"/>
          <w:szCs w:val="16"/>
        </w:rPr>
        <w:t xml:space="preserve"> the lives of my patients.</w:t>
      </w:r>
    </w:p>
    <w:p w:rsidR="0091106B" w:rsidRPr="00FF3BBD" w:rsidRDefault="0091106B" w:rsidP="00FF3BBD">
      <w:pPr>
        <w:pStyle w:val="Norm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0" w:beforeAutospacing="0" w:after="300" w:afterAutospacing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FF3BBD">
        <w:rPr>
          <w:rFonts w:ascii="Arial" w:hAnsi="Arial" w:cs="Arial"/>
          <w:color w:val="000000" w:themeColor="text1"/>
          <w:sz w:val="16"/>
          <w:szCs w:val="16"/>
        </w:rPr>
        <w:t>The field of urology fascinated me because it encompasses a wide range of conditions and treatments. From diagnosing and treating urinary tract infections to performing complex surgeries for prostate cancer, urology offers a diverse and challenging set of cases. It requires a combination of technical skills, critical thinking, and empathy to provide optimal care to patients.</w:t>
      </w:r>
    </w:p>
    <w:p w:rsidR="00AE3E37" w:rsidRDefault="00AE3E37" w:rsidP="00C526E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 w:rsidP="00EC358E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EC358E">
        <w:rPr>
          <w:rFonts w:ascii="Arial"/>
          <w:sz w:val="14"/>
        </w:rPr>
        <w:t>carlos.esteban.vidal.valderrama@uabc.edu.mx</w:t>
      </w:r>
    </w:p>
    <w:p w:rsidR="00AE3E37" w:rsidRDefault="00292ED9" w:rsidP="00C526EC">
      <w:pPr>
        <w:pStyle w:val="Textoindependiente"/>
        <w:spacing w:before="2"/>
        <w:jc w:val="both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437C1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 w:rsidP="00C526EC">
      <w:pPr>
        <w:pStyle w:val="Textoindependiente"/>
        <w:jc w:val="both"/>
        <w:rPr>
          <w:rFonts w:ascii="Arial"/>
          <w:sz w:val="20"/>
        </w:rPr>
      </w:pPr>
    </w:p>
    <w:p w:rsidR="00AE3E37" w:rsidRDefault="00AE3E37" w:rsidP="00C526EC">
      <w:pPr>
        <w:pStyle w:val="Textoindependiente"/>
        <w:jc w:val="both"/>
        <w:rPr>
          <w:rFonts w:ascii="Arial"/>
          <w:sz w:val="20"/>
        </w:rPr>
      </w:pPr>
    </w:p>
    <w:p w:rsidR="00AE3E37" w:rsidRDefault="00AE3E37" w:rsidP="00C526EC">
      <w:pPr>
        <w:pStyle w:val="Textoindependiente"/>
        <w:spacing w:before="7"/>
        <w:jc w:val="both"/>
        <w:rPr>
          <w:rFonts w:ascii="Arial"/>
          <w:sz w:val="29"/>
        </w:rPr>
      </w:pPr>
    </w:p>
    <w:p w:rsidR="00AE3E37" w:rsidRDefault="00AE3E37" w:rsidP="00C526EC">
      <w:pPr>
        <w:jc w:val="both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C526EC">
      <w:pPr>
        <w:pStyle w:val="Textoindependiente"/>
        <w:spacing w:before="3"/>
        <w:jc w:val="both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4816" w:rsidRDefault="00394816">
      <w:r>
        <w:separator/>
      </w:r>
    </w:p>
  </w:endnote>
  <w:endnote w:type="continuationSeparator" w:id="0">
    <w:p w:rsidR="00394816" w:rsidRDefault="00394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4816" w:rsidRDefault="00394816">
      <w:r>
        <w:separator/>
      </w:r>
    </w:p>
  </w:footnote>
  <w:footnote w:type="continuationSeparator" w:id="0">
    <w:p w:rsidR="00394816" w:rsidRDefault="00394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9FA0A27"/>
    <w:multiLevelType w:val="hybridMultilevel"/>
    <w:tmpl w:val="649403D6"/>
    <w:lvl w:ilvl="0" w:tplc="080A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7B984F1A"/>
    <w:multiLevelType w:val="hybridMultilevel"/>
    <w:tmpl w:val="B62400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636782">
    <w:abstractNumId w:val="0"/>
  </w:num>
  <w:num w:numId="2" w16cid:durableId="2067027514">
    <w:abstractNumId w:val="2"/>
  </w:num>
  <w:num w:numId="3" w16cid:durableId="57759744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023825424">
    <w:abstractNumId w:val="3"/>
  </w:num>
  <w:num w:numId="5" w16cid:durableId="1664821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0496F"/>
    <w:rsid w:val="001263DF"/>
    <w:rsid w:val="001C725E"/>
    <w:rsid w:val="001E3CD7"/>
    <w:rsid w:val="001E763C"/>
    <w:rsid w:val="00292ED9"/>
    <w:rsid w:val="00314AFB"/>
    <w:rsid w:val="00394816"/>
    <w:rsid w:val="003B76D9"/>
    <w:rsid w:val="00404E5B"/>
    <w:rsid w:val="00414F7B"/>
    <w:rsid w:val="004355DC"/>
    <w:rsid w:val="004749B4"/>
    <w:rsid w:val="00494130"/>
    <w:rsid w:val="0049713A"/>
    <w:rsid w:val="004F3523"/>
    <w:rsid w:val="004F7299"/>
    <w:rsid w:val="005625EB"/>
    <w:rsid w:val="00592459"/>
    <w:rsid w:val="005973B9"/>
    <w:rsid w:val="005B3A56"/>
    <w:rsid w:val="006060CE"/>
    <w:rsid w:val="0063497F"/>
    <w:rsid w:val="00716E83"/>
    <w:rsid w:val="0078738A"/>
    <w:rsid w:val="0084713B"/>
    <w:rsid w:val="00873DF0"/>
    <w:rsid w:val="008756E6"/>
    <w:rsid w:val="008963EB"/>
    <w:rsid w:val="008D1488"/>
    <w:rsid w:val="0091106B"/>
    <w:rsid w:val="009121A2"/>
    <w:rsid w:val="009463D0"/>
    <w:rsid w:val="009B2D44"/>
    <w:rsid w:val="009D7230"/>
    <w:rsid w:val="00A07E82"/>
    <w:rsid w:val="00A123B9"/>
    <w:rsid w:val="00A9710C"/>
    <w:rsid w:val="00AD25BA"/>
    <w:rsid w:val="00AE3E37"/>
    <w:rsid w:val="00AE508C"/>
    <w:rsid w:val="00B21A57"/>
    <w:rsid w:val="00C33602"/>
    <w:rsid w:val="00C526EC"/>
    <w:rsid w:val="00CA44D4"/>
    <w:rsid w:val="00CD6F55"/>
    <w:rsid w:val="00D62425"/>
    <w:rsid w:val="00D70CED"/>
    <w:rsid w:val="00DE3104"/>
    <w:rsid w:val="00DF09AA"/>
    <w:rsid w:val="00EC358E"/>
    <w:rsid w:val="00F72EEA"/>
    <w:rsid w:val="00F8136A"/>
    <w:rsid w:val="00F84CAE"/>
    <w:rsid w:val="00FF3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A17F1"/>
  <w15:docId w15:val="{1BF135A5-38C0-CC43-B5DC-E3FDA55EB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F09A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apple-converted-space">
    <w:name w:val="apple-converted-space"/>
    <w:basedOn w:val="Fuentedeprrafopredeter"/>
    <w:rsid w:val="00DF09AA"/>
  </w:style>
  <w:style w:type="character" w:styleId="Mencinsinresolver">
    <w:name w:val="Unresolved Mention"/>
    <w:basedOn w:val="Fuentedeprrafopredeter"/>
    <w:uiPriority w:val="99"/>
    <w:semiHidden/>
    <w:unhideWhenUsed/>
    <w:rsid w:val="00DF0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2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5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4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2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62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3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0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2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23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hyperlink" Target="https://doi.org/10.3390/medicina570807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38/s41585-022-00578-1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847</Words>
  <Characters>4664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Carlos Esteban Vidal</cp:lastModifiedBy>
  <cp:revision>3</cp:revision>
  <cp:lastPrinted>2023-07-13T14:19:00Z</cp:lastPrinted>
  <dcterms:created xsi:type="dcterms:W3CDTF">2023-07-13T14:19:00Z</dcterms:created>
  <dcterms:modified xsi:type="dcterms:W3CDTF">2023-07-13T14:29:00Z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ZOTERO_PREF_1">
    <vt:lpwstr>&lt;data data-version="3" zotero-version="6.0.26"&gt;&lt;session id="A6Qa9XN6"/&gt;&lt;style id="http://www.zotero.org/styles/apa" locale="en-US" hasBibliography="1" bibliographyStyleHasBeenSet="0"/&gt;&lt;prefs&gt;&lt;pref name="fieldType" value="Field"/&gt;&lt;pref name="automaticJourn</vt:lpwstr>
  </property>
  <property fmtid="{D5CDD505-2E9C-101B-9397-08002B2CF9AE}" pid="6" name="ZOTERO_PREF_2">
    <vt:lpwstr>alAbbreviations" value="true"/&gt;&lt;/prefs&gt;&lt;/data&gt;</vt:lpwstr>
  </property>
</Properties>
</file>