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D0D22" w14:textId="77777777" w:rsidR="00303BBA" w:rsidRPr="003E4B0E" w:rsidRDefault="00303BBA" w:rsidP="00303BBA">
      <w:pPr>
        <w:pStyle w:val="NormalWeb"/>
        <w:rPr>
          <w:rFonts w:ascii="Tw Cen MT" w:hAnsi="Tw Cen MT"/>
          <w:b/>
          <w:bCs/>
        </w:rPr>
      </w:pPr>
      <w:r w:rsidRPr="003E4B0E">
        <w:rPr>
          <w:rFonts w:ascii="Tw Cen MT" w:hAnsi="Tw Cen MT"/>
          <w:b/>
          <w:bCs/>
        </w:rPr>
        <w:t xml:space="preserve">Supine versus prone PCNL - which, when and where? A single surgeon experience on 332 procedures. </w:t>
      </w:r>
    </w:p>
    <w:p w14:paraId="683E1AE3" w14:textId="568E50BC" w:rsidR="0078738A" w:rsidRDefault="0078738A" w:rsidP="005973B9">
      <w:pPr>
        <w:pStyle w:val="BodyText"/>
        <w:spacing w:before="73" w:line="198" w:lineRule="exact"/>
        <w:ind w:left="100" w:right="5987"/>
        <w:rPr>
          <w:rFonts w:ascii="Arial"/>
        </w:rPr>
      </w:pPr>
      <w:r>
        <w:rPr>
          <w:rFonts w:ascii="Arial"/>
        </w:rPr>
        <w:t xml:space="preserve">Dr </w:t>
      </w:r>
      <w:proofErr w:type="spellStart"/>
      <w:r w:rsidR="00303BBA">
        <w:rPr>
          <w:rFonts w:ascii="Arial"/>
        </w:rPr>
        <w:t>Deerush</w:t>
      </w:r>
      <w:proofErr w:type="spellEnd"/>
      <w:r w:rsidR="00303BBA">
        <w:rPr>
          <w:rFonts w:ascii="Arial"/>
        </w:rPr>
        <w:t xml:space="preserve"> Kannan</w:t>
      </w:r>
      <w:r w:rsidR="005973B9">
        <w:rPr>
          <w:rFonts w:ascii="Arial"/>
        </w:rPr>
        <w:t xml:space="preserve">, </w:t>
      </w:r>
      <w:r w:rsidR="00303BBA">
        <w:rPr>
          <w:rFonts w:ascii="Arial"/>
        </w:rPr>
        <w:t>Apollo Hospitals, Chennai</w:t>
      </w:r>
      <w:r w:rsidR="005973B9">
        <w:rPr>
          <w:rFonts w:ascii="Arial"/>
        </w:rPr>
        <w:t xml:space="preserve">, </w:t>
      </w:r>
      <w:r w:rsidR="00303BBA">
        <w:rPr>
          <w:rFonts w:ascii="Arial"/>
        </w:rPr>
        <w:t>India</w:t>
      </w:r>
      <w:r w:rsidR="005973B9">
        <w:rPr>
          <w:rFonts w:ascii="Arial"/>
        </w:rPr>
        <w:t xml:space="preserve"> </w:t>
      </w:r>
    </w:p>
    <w:p w14:paraId="319A5686" w14:textId="009E4FAE" w:rsidR="005973B9" w:rsidRDefault="0078738A" w:rsidP="005973B9">
      <w:pPr>
        <w:pStyle w:val="BodyText"/>
        <w:spacing w:before="73" w:line="198" w:lineRule="exact"/>
        <w:ind w:left="100" w:right="5987"/>
        <w:rPr>
          <w:rFonts w:ascii="Arial"/>
        </w:rPr>
      </w:pPr>
      <w:r>
        <w:rPr>
          <w:rFonts w:ascii="Arial"/>
        </w:rPr>
        <w:t xml:space="preserve">Dr </w:t>
      </w:r>
      <w:r w:rsidR="00303BBA">
        <w:rPr>
          <w:rFonts w:ascii="Arial"/>
        </w:rPr>
        <w:t>Nitesh Jain</w:t>
      </w:r>
      <w:r w:rsidR="005973B9">
        <w:rPr>
          <w:rFonts w:ascii="Arial"/>
        </w:rPr>
        <w:t xml:space="preserve">, </w:t>
      </w:r>
      <w:r w:rsidR="00303BBA">
        <w:rPr>
          <w:rFonts w:ascii="Arial"/>
        </w:rPr>
        <w:t>Apollo Hospitals, Chennai, India</w:t>
      </w:r>
    </w:p>
    <w:p w14:paraId="08F62747" w14:textId="77777777" w:rsidR="00AE3E37" w:rsidRDefault="00AE3E37">
      <w:pPr>
        <w:pStyle w:val="BodyText"/>
        <w:rPr>
          <w:rFonts w:ascii="Arial"/>
          <w:sz w:val="20"/>
        </w:rPr>
      </w:pPr>
    </w:p>
    <w:p w14:paraId="664D850A" w14:textId="77777777" w:rsidR="00AE3E37" w:rsidRDefault="00AE3E37">
      <w:pPr>
        <w:pStyle w:val="BodyText"/>
        <w:spacing w:before="3"/>
        <w:rPr>
          <w:rFonts w:ascii="Arial"/>
          <w:sz w:val="21"/>
        </w:rPr>
      </w:pPr>
    </w:p>
    <w:p w14:paraId="46F5BDF4"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C851401" w14:textId="77777777" w:rsidR="00AE3E37" w:rsidRDefault="00A9710C">
      <w:pPr>
        <w:pStyle w:val="Heading3"/>
        <w:spacing w:before="147"/>
        <w:jc w:val="both"/>
        <w:rPr>
          <w:color w:val="BF5A14"/>
        </w:rPr>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316E2B9B" w14:textId="71419549" w:rsidR="003E4B0E" w:rsidRPr="003E4B0E" w:rsidRDefault="003E4B0E" w:rsidP="003E4B0E">
      <w:pPr>
        <w:pStyle w:val="NormalWeb"/>
        <w:rPr>
          <w:rFonts w:ascii="Tw Cen MT" w:hAnsi="Tw Cen MT"/>
          <w:sz w:val="18"/>
          <w:szCs w:val="18"/>
        </w:rPr>
      </w:pPr>
      <w:r w:rsidRPr="003E4B0E">
        <w:rPr>
          <w:rFonts w:ascii="Tw Cen MT" w:hAnsi="Tw Cen MT"/>
          <w:b/>
          <w:bCs/>
          <w:sz w:val="18"/>
          <w:szCs w:val="18"/>
        </w:rPr>
        <w:br/>
        <w:t xml:space="preserve">Introduction: </w:t>
      </w:r>
      <w:r w:rsidRPr="003E4B0E">
        <w:rPr>
          <w:rFonts w:ascii="Tw Cen MT" w:hAnsi="Tw Cen MT"/>
          <w:sz w:val="18"/>
          <w:szCs w:val="18"/>
        </w:rPr>
        <w:t xml:space="preserve">PCNL (Percutaneous nephrolithotomy) is considered the gold standard treatment for renal calculus more than 2 cm. </w:t>
      </w:r>
      <w:r w:rsidR="00303BBA">
        <w:rPr>
          <w:rFonts w:ascii="Tw Cen MT" w:hAnsi="Tw Cen MT"/>
          <w:sz w:val="18"/>
          <w:szCs w:val="18"/>
        </w:rPr>
        <w:t xml:space="preserve">Though there are multiple prospective studies comparing supine versus prone PCNL, literature lacks a comparison based on experience of a </w:t>
      </w:r>
      <w:proofErr w:type="spellStart"/>
      <w:r w:rsidR="00303BBA">
        <w:rPr>
          <w:rFonts w:ascii="Tw Cen MT" w:hAnsi="Tw Cen MT"/>
          <w:sz w:val="18"/>
          <w:szCs w:val="18"/>
        </w:rPr>
        <w:t>songle</w:t>
      </w:r>
      <w:proofErr w:type="spellEnd"/>
      <w:r w:rsidR="00303BBA">
        <w:rPr>
          <w:rFonts w:ascii="Tw Cen MT" w:hAnsi="Tw Cen MT"/>
          <w:sz w:val="18"/>
          <w:szCs w:val="18"/>
        </w:rPr>
        <w:t xml:space="preserve"> surgeon. </w:t>
      </w:r>
      <w:r w:rsidRPr="003E4B0E">
        <w:rPr>
          <w:rFonts w:ascii="Tw Cen MT" w:hAnsi="Tw Cen MT"/>
          <w:sz w:val="18"/>
          <w:szCs w:val="18"/>
        </w:rPr>
        <w:t xml:space="preserve">The aim of the study was to evaluate the safety and efficacy of supine versus prone PCNL based on a single surgeon experience. </w:t>
      </w:r>
    </w:p>
    <w:p w14:paraId="6A8BB804" w14:textId="77777777" w:rsidR="003E4B0E" w:rsidRPr="003E4B0E" w:rsidRDefault="003E4B0E" w:rsidP="003E4B0E">
      <w:pPr>
        <w:pStyle w:val="NormalWeb"/>
        <w:rPr>
          <w:rFonts w:ascii="Tw Cen MT" w:hAnsi="Tw Cen MT"/>
          <w:sz w:val="18"/>
          <w:szCs w:val="18"/>
        </w:rPr>
      </w:pPr>
      <w:r w:rsidRPr="003E4B0E">
        <w:rPr>
          <w:rFonts w:ascii="Tw Cen MT" w:hAnsi="Tw Cen MT"/>
          <w:sz w:val="18"/>
          <w:szCs w:val="18"/>
        </w:rPr>
        <w:br/>
      </w:r>
      <w:r w:rsidRPr="003E4B0E">
        <w:rPr>
          <w:rFonts w:ascii="Tw Cen MT" w:hAnsi="Tw Cen MT"/>
          <w:b/>
          <w:bCs/>
          <w:sz w:val="18"/>
          <w:szCs w:val="18"/>
        </w:rPr>
        <w:t xml:space="preserve">Methods and materials: </w:t>
      </w:r>
      <w:r w:rsidRPr="003E4B0E">
        <w:rPr>
          <w:rFonts w:ascii="Tw Cen MT" w:hAnsi="Tw Cen MT"/>
          <w:sz w:val="18"/>
          <w:szCs w:val="18"/>
        </w:rPr>
        <w:t xml:space="preserve">A prospective randomised study done in Apollo Hospitals, Urology department between October 2017 and October 2022. A total of </w:t>
      </w:r>
      <w:r>
        <w:rPr>
          <w:rFonts w:ascii="Tw Cen MT" w:hAnsi="Tw Cen MT"/>
          <w:sz w:val="18"/>
          <w:szCs w:val="18"/>
        </w:rPr>
        <w:t>332</w:t>
      </w:r>
      <w:r w:rsidRPr="003E4B0E">
        <w:rPr>
          <w:rFonts w:ascii="Tw Cen MT" w:hAnsi="Tw Cen MT"/>
          <w:sz w:val="18"/>
          <w:szCs w:val="18"/>
        </w:rPr>
        <w:t xml:space="preserve"> with stone size measuring less than 3 cm were included in the study. </w:t>
      </w:r>
    </w:p>
    <w:p w14:paraId="0D1F6213" w14:textId="51730F77" w:rsidR="003E4B0E" w:rsidRPr="003E4B0E" w:rsidRDefault="003E4B0E" w:rsidP="003E4B0E">
      <w:pPr>
        <w:pStyle w:val="NormalWeb"/>
        <w:rPr>
          <w:rFonts w:ascii="Tw Cen MT" w:hAnsi="Tw Cen MT"/>
          <w:sz w:val="18"/>
          <w:szCs w:val="18"/>
        </w:rPr>
      </w:pPr>
      <w:r w:rsidRPr="003E4B0E">
        <w:rPr>
          <w:rFonts w:ascii="Tw Cen MT" w:hAnsi="Tw Cen MT"/>
          <w:b/>
          <w:bCs/>
          <w:sz w:val="18"/>
          <w:szCs w:val="18"/>
        </w:rPr>
        <w:t xml:space="preserve">Results: </w:t>
      </w:r>
      <w:r w:rsidRPr="003E4B0E">
        <w:rPr>
          <w:rFonts w:ascii="Tw Cen MT" w:hAnsi="Tw Cen MT"/>
          <w:sz w:val="18"/>
          <w:szCs w:val="18"/>
        </w:rPr>
        <w:t xml:space="preserve">The mean total operative time from induction was </w:t>
      </w:r>
      <w:r w:rsidRPr="003E4B0E">
        <w:rPr>
          <w:rFonts w:ascii="Tw Cen MT" w:hAnsi="Tw Cen MT"/>
          <w:sz w:val="18"/>
          <w:szCs w:val="18"/>
          <w:lang w:val="en-US"/>
        </w:rPr>
        <w:t>45.1</w:t>
      </w:r>
      <w:r w:rsidRPr="003E4B0E">
        <w:rPr>
          <w:rFonts w:ascii="Tw Cen MT" w:hAnsi="Tw Cen MT"/>
          <w:sz w:val="18"/>
          <w:szCs w:val="18"/>
        </w:rPr>
        <w:t xml:space="preserve"> min in supine group and </w:t>
      </w:r>
      <w:r w:rsidRPr="003E4B0E">
        <w:rPr>
          <w:rFonts w:ascii="Tw Cen MT" w:hAnsi="Tw Cen MT"/>
          <w:sz w:val="18"/>
          <w:szCs w:val="18"/>
          <w:lang w:val="en-US"/>
        </w:rPr>
        <w:t xml:space="preserve">57.7 </w:t>
      </w:r>
      <w:r w:rsidRPr="003E4B0E">
        <w:rPr>
          <w:rFonts w:ascii="Tw Cen MT" w:hAnsi="Tw Cen MT"/>
          <w:sz w:val="18"/>
          <w:szCs w:val="18"/>
        </w:rPr>
        <w:t>min in prone group (</w:t>
      </w:r>
      <w:r w:rsidRPr="003E4B0E">
        <w:rPr>
          <w:rFonts w:ascii="Tw Cen MT" w:hAnsi="Tw Cen MT"/>
          <w:i/>
          <w:iCs/>
          <w:sz w:val="18"/>
          <w:szCs w:val="18"/>
        </w:rPr>
        <w:t xml:space="preserve">p </w:t>
      </w:r>
      <w:r w:rsidRPr="003E4B0E">
        <w:rPr>
          <w:rFonts w:ascii="Tw Cen MT" w:hAnsi="Tw Cen MT"/>
          <w:sz w:val="18"/>
          <w:szCs w:val="18"/>
        </w:rPr>
        <w:t xml:space="preserve">value </w:t>
      </w:r>
      <w:r w:rsidRPr="003E4B0E">
        <w:rPr>
          <w:rFonts w:ascii="Tw Cen MT" w:hAnsi="Tw Cen MT"/>
          <w:b/>
          <w:sz w:val="18"/>
          <w:szCs w:val="18"/>
          <w:lang w:val="en-US"/>
        </w:rPr>
        <w:t>&lt; 0.001</w:t>
      </w:r>
      <w:r w:rsidRPr="003E4B0E">
        <w:rPr>
          <w:rFonts w:ascii="Tw Cen MT" w:hAnsi="Tw Cen MT"/>
          <w:sz w:val="18"/>
          <w:szCs w:val="18"/>
        </w:rPr>
        <w:t>) whereas the time from puncture was 32.2 and 28.4 minutes in supine and prone respectively. The pain score was higher in prone group. Hospital stay and complications (early and late) were comparable between the groups. Puncture was made with ease in prone group (</w:t>
      </w:r>
      <w:r w:rsidRPr="003E4B0E">
        <w:rPr>
          <w:rFonts w:ascii="Tw Cen MT" w:hAnsi="Tw Cen MT"/>
          <w:i/>
          <w:iCs/>
          <w:sz w:val="18"/>
          <w:szCs w:val="18"/>
        </w:rPr>
        <w:t xml:space="preserve">p </w:t>
      </w:r>
      <w:r w:rsidRPr="003E4B0E">
        <w:rPr>
          <w:rFonts w:ascii="Tw Cen MT" w:hAnsi="Tw Cen MT"/>
          <w:sz w:val="18"/>
          <w:szCs w:val="18"/>
        </w:rPr>
        <w:t xml:space="preserve">value </w:t>
      </w:r>
      <w:r w:rsidRPr="003E4B0E">
        <w:rPr>
          <w:rFonts w:ascii="Tw Cen MT" w:hAnsi="Tw Cen MT"/>
          <w:b/>
          <w:sz w:val="18"/>
          <w:szCs w:val="18"/>
          <w:lang w:val="en-US"/>
        </w:rPr>
        <w:t>&lt; 0.001</w:t>
      </w:r>
      <w:r w:rsidRPr="003E4B0E">
        <w:rPr>
          <w:rFonts w:ascii="Tw Cen MT" w:hAnsi="Tw Cen MT"/>
          <w:sz w:val="18"/>
          <w:szCs w:val="18"/>
        </w:rPr>
        <w:t>) and prone PCNL had good results in diverticular stones</w:t>
      </w:r>
      <w:r>
        <w:rPr>
          <w:rFonts w:ascii="Tw Cen MT" w:hAnsi="Tw Cen MT"/>
          <w:sz w:val="18"/>
          <w:szCs w:val="18"/>
        </w:rPr>
        <w:t>, bilateral stones</w:t>
      </w:r>
      <w:r w:rsidRPr="003E4B0E">
        <w:rPr>
          <w:rFonts w:ascii="Tw Cen MT" w:hAnsi="Tw Cen MT"/>
          <w:sz w:val="18"/>
          <w:szCs w:val="18"/>
        </w:rPr>
        <w:t xml:space="preserve"> and previous pyelolithotomies. Th</w:t>
      </w:r>
      <w:r>
        <w:rPr>
          <w:rFonts w:ascii="Tw Cen MT" w:hAnsi="Tw Cen MT"/>
          <w:sz w:val="18"/>
          <w:szCs w:val="18"/>
        </w:rPr>
        <w:t>ough ECIRS was handy in supine PCNL, th</w:t>
      </w:r>
      <w:r w:rsidRPr="003E4B0E">
        <w:rPr>
          <w:rFonts w:ascii="Tw Cen MT" w:hAnsi="Tw Cen MT"/>
          <w:sz w:val="18"/>
          <w:szCs w:val="18"/>
        </w:rPr>
        <w:t xml:space="preserve">e need for additional punctures for residual fragments was more in supine group (statistically insignificant). </w:t>
      </w:r>
    </w:p>
    <w:p w14:paraId="0802269B" w14:textId="77777777" w:rsidR="003E4B0E" w:rsidRDefault="003E4B0E" w:rsidP="003E4B0E">
      <w:pPr>
        <w:pStyle w:val="NormalWeb"/>
        <w:rPr>
          <w:rFonts w:ascii="Tw Cen MT" w:hAnsi="Tw Cen MT"/>
          <w:sz w:val="18"/>
          <w:szCs w:val="18"/>
        </w:rPr>
      </w:pPr>
      <w:r w:rsidRPr="003E4B0E">
        <w:rPr>
          <w:rFonts w:ascii="Tw Cen MT" w:hAnsi="Tw Cen MT"/>
          <w:sz w:val="18"/>
          <w:szCs w:val="18"/>
        </w:rPr>
        <w:br/>
      </w:r>
      <w:r w:rsidRPr="003E4B0E">
        <w:rPr>
          <w:rFonts w:ascii="Tw Cen MT" w:hAnsi="Tw Cen MT"/>
          <w:b/>
          <w:bCs/>
          <w:sz w:val="18"/>
          <w:szCs w:val="18"/>
        </w:rPr>
        <w:t xml:space="preserve">Conclusion: </w:t>
      </w:r>
      <w:r w:rsidRPr="003E4B0E">
        <w:rPr>
          <w:rFonts w:ascii="Tw Cen MT" w:hAnsi="Tw Cen MT"/>
          <w:sz w:val="18"/>
          <w:szCs w:val="18"/>
        </w:rPr>
        <w:t xml:space="preserve">Supine PCNL is feasible, comparable to prone PCNL in respect to operative parameters with relatively higher stone migration rates requiring need for ancillary punctures or procedures though it is statistically insignificant. </w:t>
      </w:r>
    </w:p>
    <w:p w14:paraId="02972673" w14:textId="77777777" w:rsidR="000841D4" w:rsidRPr="003E4B0E" w:rsidRDefault="000841D4" w:rsidP="003E4B0E">
      <w:pPr>
        <w:pStyle w:val="NormalWeb"/>
        <w:rPr>
          <w:rFonts w:ascii="Tw Cen MT" w:hAnsi="Tw Cen MT"/>
          <w:sz w:val="18"/>
          <w:szCs w:val="18"/>
        </w:rPr>
      </w:pPr>
    </w:p>
    <w:p w14:paraId="2D648CAF" w14:textId="58DBEE78" w:rsidR="00AE3E37" w:rsidRDefault="00A9710C">
      <w:pPr>
        <w:pStyle w:val="Heading3"/>
        <w:spacing w:before="74"/>
        <w:rPr>
          <w:color w:val="BF5A14"/>
        </w:rPr>
      </w:pPr>
      <w:r>
        <w:rPr>
          <w:b w:val="0"/>
        </w:rPr>
        <w:br w:type="column"/>
      </w:r>
      <w:r>
        <w:rPr>
          <w:color w:val="BF5A14"/>
        </w:rPr>
        <w:t>Image</w:t>
      </w:r>
      <w:r w:rsidR="00303BBA">
        <w:rPr>
          <w:color w:val="BF5A14"/>
        </w:rPr>
        <w:t xml:space="preserve"> (Intra operative parameters)</w:t>
      </w:r>
    </w:p>
    <w:p w14:paraId="095D1996" w14:textId="77777777" w:rsidR="00303BBA" w:rsidRDefault="00303BBA">
      <w:pPr>
        <w:pStyle w:val="Heading3"/>
        <w:spacing w:before="74"/>
      </w:pPr>
    </w:p>
    <w:p w14:paraId="0575E66D" w14:textId="4355B6E1" w:rsidR="00AE3E37" w:rsidRDefault="00303BBA">
      <w:pPr>
        <w:pStyle w:val="BodyText"/>
        <w:spacing w:before="2"/>
        <w:rPr>
          <w:rFonts w:ascii="Arial"/>
          <w:b/>
          <w:sz w:val="16"/>
        </w:rPr>
      </w:pPr>
      <w:r w:rsidRPr="00303BBA">
        <w:rPr>
          <w:rFonts w:ascii="Arial"/>
          <w:b/>
          <w:sz w:val="16"/>
        </w:rPr>
        <w:drawing>
          <wp:inline distT="0" distB="0" distL="0" distR="0" wp14:anchorId="4A55AA7B" wp14:editId="59BF927F">
            <wp:extent cx="3164356" cy="2332800"/>
            <wp:effectExtent l="0" t="0" r="0" b="0"/>
            <wp:docPr id="2" name="table">
              <a:extLst xmlns:a="http://schemas.openxmlformats.org/drawingml/2006/main">
                <a:ext uri="{FF2B5EF4-FFF2-40B4-BE49-F238E27FC236}">
                  <a16:creationId xmlns:a16="http://schemas.microsoft.com/office/drawing/2014/main" id="{BC795E0A-C875-0A50-075A-B6770120D5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
                      <a:extLst>
                        <a:ext uri="{FF2B5EF4-FFF2-40B4-BE49-F238E27FC236}">
                          <a16:creationId xmlns:a16="http://schemas.microsoft.com/office/drawing/2014/main" id="{BC795E0A-C875-0A50-075A-B6770120D5FF}"/>
                        </a:ext>
                      </a:extLst>
                    </pic:cNvPr>
                    <pic:cNvPicPr>
                      <a:picLocks noChangeAspect="1"/>
                    </pic:cNvPicPr>
                  </pic:nvPicPr>
                  <pic:blipFill>
                    <a:blip r:embed="rId9"/>
                    <a:stretch>
                      <a:fillRect/>
                    </a:stretch>
                  </pic:blipFill>
                  <pic:spPr>
                    <a:xfrm>
                      <a:off x="0" y="0"/>
                      <a:ext cx="3164356" cy="2332800"/>
                    </a:xfrm>
                    <a:prstGeom prst="rect">
                      <a:avLst/>
                    </a:prstGeom>
                  </pic:spPr>
                </pic:pic>
              </a:graphicData>
            </a:graphic>
          </wp:inline>
        </w:drawing>
      </w:r>
    </w:p>
    <w:p w14:paraId="312B3812" w14:textId="1C59C6E1" w:rsidR="005973B9" w:rsidRDefault="005973B9" w:rsidP="000841D4">
      <w:pPr>
        <w:spacing w:line="204" w:lineRule="exact"/>
        <w:rPr>
          <w:rFonts w:ascii="Calibri" w:hAnsi="Calibri"/>
        </w:rPr>
      </w:pPr>
      <w:r>
        <w:rPr>
          <w:rFonts w:ascii="Arial"/>
          <w:b/>
          <w:color w:val="BF5A14"/>
          <w:sz w:val="20"/>
        </w:rPr>
        <w:br/>
      </w:r>
    </w:p>
    <w:p w14:paraId="6212E221" w14:textId="77777777" w:rsidR="00AE3E37" w:rsidRPr="008756E6" w:rsidRDefault="00AE3E37" w:rsidP="008756E6">
      <w:pPr>
        <w:tabs>
          <w:tab w:val="left" w:pos="384"/>
        </w:tabs>
        <w:ind w:right="117"/>
      </w:pPr>
    </w:p>
    <w:p w14:paraId="0979F2CB"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6641151"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67F91369"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E29A907" wp14:editId="1F46646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96A8BD1" w14:textId="2907B0BB" w:rsidR="00AE3E37" w:rsidRDefault="008756E6" w:rsidP="00404E5B">
      <w:pPr>
        <w:spacing w:before="92"/>
        <w:ind w:right="4234"/>
        <w:rPr>
          <w:rFonts w:ascii="Arial"/>
        </w:rPr>
      </w:pPr>
      <w:r>
        <w:rPr>
          <w:noProof/>
        </w:rPr>
        <w:t xml:space="preserve">              </w:t>
      </w:r>
      <w:r w:rsidR="000841D4">
        <w:fldChar w:fldCharType="begin"/>
      </w:r>
      <w:r w:rsidR="000841D4">
        <w:instrText xml:space="preserve"> INCLUDEPICTURE "/Users/deerush/Library/Group Containers/UBF8T346G9.ms/WebArchiveCopyPasteTempFiles/com.microsoft.Word/41004be3-2747-42b5-b297-8fadce04decb" \* MERGEFORMATINET </w:instrText>
      </w:r>
      <w:r w:rsidR="000841D4">
        <w:fldChar w:fldCharType="separate"/>
      </w:r>
      <w:r w:rsidR="000841D4">
        <w:rPr>
          <w:noProof/>
        </w:rPr>
        <w:drawing>
          <wp:inline distT="0" distB="0" distL="0" distR="0" wp14:anchorId="1CE56FFD" wp14:editId="2905F0FD">
            <wp:extent cx="439690" cy="610521"/>
            <wp:effectExtent l="0" t="0" r="5080" b="0"/>
            <wp:docPr id="1801875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7377" r="24736" b="8960"/>
                    <a:stretch/>
                  </pic:blipFill>
                  <pic:spPr bwMode="auto">
                    <a:xfrm>
                      <a:off x="0" y="0"/>
                      <a:ext cx="439690" cy="610521"/>
                    </a:xfrm>
                    <a:prstGeom prst="rect">
                      <a:avLst/>
                    </a:prstGeom>
                    <a:noFill/>
                    <a:ln>
                      <a:noFill/>
                    </a:ln>
                    <a:extLst>
                      <a:ext uri="{53640926-AAD7-44D8-BBD7-CCE9431645EC}">
                        <a14:shadowObscured xmlns:a14="http://schemas.microsoft.com/office/drawing/2010/main"/>
                      </a:ext>
                    </a:extLst>
                  </pic:spPr>
                </pic:pic>
              </a:graphicData>
            </a:graphic>
          </wp:inline>
        </w:drawing>
      </w:r>
      <w:r w:rsidR="000841D4">
        <w:fldChar w:fldCharType="end"/>
      </w:r>
      <w:r w:rsidR="00A9710C">
        <w:rPr>
          <w:rFonts w:ascii="Arial"/>
          <w:color w:val="BF5A14"/>
        </w:rPr>
        <w:t>Biography</w:t>
      </w:r>
      <w:r w:rsidR="00404E5B">
        <w:rPr>
          <w:rFonts w:ascii="Arial"/>
          <w:color w:val="BF5A14"/>
        </w:rPr>
        <w:t xml:space="preserve"> </w:t>
      </w:r>
    </w:p>
    <w:p w14:paraId="6782C79C" w14:textId="359488F1" w:rsidR="00AE3E37" w:rsidRPr="00202CC2" w:rsidRDefault="00202CC2">
      <w:pPr>
        <w:spacing w:before="41" w:line="154" w:lineRule="exact"/>
        <w:ind w:left="213" w:right="231"/>
        <w:jc w:val="both"/>
        <w:rPr>
          <w:rFonts w:ascii="Arial" w:hAnsi="Arial" w:cs="Arial"/>
          <w:sz w:val="14"/>
          <w:szCs w:val="14"/>
        </w:rPr>
      </w:pPr>
      <w:r w:rsidRPr="00202CC2">
        <w:rPr>
          <w:rFonts w:ascii="Arial" w:hAnsi="Arial" w:cs="Arial"/>
          <w:color w:val="343541"/>
          <w:sz w:val="14"/>
          <w:szCs w:val="14"/>
        </w:rPr>
        <w:t xml:space="preserve">Dr </w:t>
      </w:r>
      <w:proofErr w:type="spellStart"/>
      <w:r w:rsidRPr="00202CC2">
        <w:rPr>
          <w:rFonts w:ascii="Arial" w:hAnsi="Arial" w:cs="Arial"/>
          <w:color w:val="343541"/>
          <w:sz w:val="14"/>
          <w:szCs w:val="14"/>
        </w:rPr>
        <w:t>Deerush</w:t>
      </w:r>
      <w:proofErr w:type="spellEnd"/>
      <w:r w:rsidRPr="00202CC2">
        <w:rPr>
          <w:rFonts w:ascii="Arial" w:hAnsi="Arial" w:cs="Arial"/>
          <w:color w:val="343541"/>
          <w:sz w:val="14"/>
          <w:szCs w:val="14"/>
        </w:rPr>
        <w:t xml:space="preserve"> Kannan is an enthusiastic Urology registrar completing his three years course in Urology in a couple of months at Apollo hospitals, Chennai, India. He has been trained by eminent Urologists who have expertise in all areas of Urology not only limited to stones, transplant, andrology, reconstruction and </w:t>
      </w:r>
      <w:proofErr w:type="spellStart"/>
      <w:r w:rsidRPr="00202CC2">
        <w:rPr>
          <w:rFonts w:ascii="Arial" w:hAnsi="Arial" w:cs="Arial"/>
          <w:color w:val="343541"/>
          <w:sz w:val="14"/>
          <w:szCs w:val="14"/>
        </w:rPr>
        <w:t>uro</w:t>
      </w:r>
      <w:proofErr w:type="spellEnd"/>
      <w:r w:rsidRPr="00202CC2">
        <w:rPr>
          <w:rFonts w:ascii="Arial" w:hAnsi="Arial" w:cs="Arial"/>
          <w:color w:val="343541"/>
          <w:sz w:val="14"/>
          <w:szCs w:val="14"/>
        </w:rPr>
        <w:t xml:space="preserve"> oncology including robotics. He is also a faculty in training surgeons across the globe to ace in MRCS exams. He has presented more than </w:t>
      </w:r>
      <w:r>
        <w:rPr>
          <w:rFonts w:ascii="Arial" w:hAnsi="Arial" w:cs="Arial"/>
          <w:color w:val="343541"/>
          <w:sz w:val="14"/>
          <w:szCs w:val="14"/>
        </w:rPr>
        <w:t>3</w:t>
      </w:r>
      <w:r w:rsidRPr="00202CC2">
        <w:rPr>
          <w:rFonts w:ascii="Arial" w:hAnsi="Arial" w:cs="Arial"/>
          <w:color w:val="343541"/>
          <w:sz w:val="14"/>
          <w:szCs w:val="14"/>
        </w:rPr>
        <w:t xml:space="preserve">0 papers, videos and posters in national and state conferences across the country with a handful of </w:t>
      </w:r>
      <w:r w:rsidRPr="00202CC2">
        <w:rPr>
          <w:rFonts w:ascii="Arial" w:hAnsi="Arial" w:cs="Arial"/>
          <w:color w:val="343541"/>
          <w:sz w:val="14"/>
          <w:szCs w:val="14"/>
        </w:rPr>
        <w:t>prize-winning</w:t>
      </w:r>
      <w:r w:rsidRPr="00202CC2">
        <w:rPr>
          <w:rFonts w:ascii="Arial" w:hAnsi="Arial" w:cs="Arial"/>
          <w:color w:val="343541"/>
          <w:sz w:val="14"/>
          <w:szCs w:val="14"/>
        </w:rPr>
        <w:t xml:space="preserve"> presentations. His areas of interest include innovation in stone disease and artificial intelligence in robotic urology.</w:t>
      </w:r>
      <w:r>
        <w:rPr>
          <w:rFonts w:ascii="Arial" w:hAnsi="Arial" w:cs="Arial"/>
          <w:color w:val="343541"/>
          <w:sz w:val="14"/>
          <w:szCs w:val="14"/>
        </w:rPr>
        <w:t xml:space="preserve"> This study was conducted by him under his men</w:t>
      </w:r>
      <w:r w:rsidR="00675D20">
        <w:rPr>
          <w:rFonts w:ascii="Arial" w:hAnsi="Arial" w:cs="Arial"/>
          <w:color w:val="343541"/>
          <w:sz w:val="14"/>
          <w:szCs w:val="14"/>
        </w:rPr>
        <w:t xml:space="preserve">tor and guide Dr Nitesh Jain, senior consultant Urologist at Apollo </w:t>
      </w:r>
      <w:r w:rsidR="00675D20" w:rsidRPr="00202CC2">
        <w:rPr>
          <w:rFonts w:ascii="Arial" w:hAnsi="Arial" w:cs="Arial"/>
          <w:color w:val="343541"/>
          <w:sz w:val="14"/>
          <w:szCs w:val="14"/>
        </w:rPr>
        <w:t xml:space="preserve">hospitals, </w:t>
      </w:r>
      <w:r w:rsidR="00675D20">
        <w:rPr>
          <w:rFonts w:ascii="Arial" w:hAnsi="Arial" w:cs="Arial"/>
          <w:color w:val="343541"/>
          <w:sz w:val="14"/>
          <w:szCs w:val="14"/>
        </w:rPr>
        <w:t xml:space="preserve">Chennai. </w:t>
      </w:r>
    </w:p>
    <w:p w14:paraId="1F30A116" w14:textId="6C2F0A56" w:rsidR="00AE3E37" w:rsidRDefault="00A9710C">
      <w:pPr>
        <w:spacing w:before="62"/>
        <w:ind w:left="4217" w:right="4235"/>
        <w:jc w:val="center"/>
        <w:rPr>
          <w:rFonts w:ascii="Arial"/>
          <w:sz w:val="14"/>
        </w:rPr>
      </w:pPr>
      <w:r>
        <w:rPr>
          <w:rFonts w:ascii="Arial"/>
          <w:sz w:val="14"/>
        </w:rPr>
        <w:t xml:space="preserve">Email: </w:t>
      </w:r>
      <w:hyperlink r:id="rId11" w:history="1">
        <w:r w:rsidR="000841D4" w:rsidRPr="00FD4F68">
          <w:rPr>
            <w:rStyle w:val="Hyperlink"/>
            <w:rFonts w:ascii="Arial"/>
            <w:sz w:val="14"/>
          </w:rPr>
          <w:t>deerush92@gmail.com</w:t>
        </w:r>
      </w:hyperlink>
    </w:p>
    <w:p w14:paraId="27A094AC"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30E5221" wp14:editId="6771952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6744F7E" w14:textId="77777777" w:rsidR="00AE3E37" w:rsidRDefault="00AE3E37">
      <w:pPr>
        <w:pStyle w:val="BodyText"/>
        <w:rPr>
          <w:rFonts w:ascii="Arial"/>
          <w:sz w:val="20"/>
        </w:rPr>
      </w:pPr>
    </w:p>
    <w:p w14:paraId="471A79C7" w14:textId="77777777" w:rsidR="00AE3E37" w:rsidRDefault="00AE3E37">
      <w:pPr>
        <w:pStyle w:val="BodyText"/>
        <w:rPr>
          <w:rFonts w:ascii="Arial"/>
          <w:sz w:val="20"/>
        </w:rPr>
      </w:pPr>
    </w:p>
    <w:p w14:paraId="52EDBAE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BAA2C37" w14:textId="77777777" w:rsidR="003E4B0E" w:rsidRDefault="003E4B0E">
      <w:pPr>
        <w:pStyle w:val="BodyText"/>
        <w:spacing w:before="3"/>
        <w:rPr>
          <w:rFonts w:ascii="Minion Pro"/>
          <w:sz w:val="26"/>
        </w:rPr>
      </w:pPr>
    </w:p>
    <w:sectPr w:rsidR="003E4B0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5DB2A" w14:textId="77777777" w:rsidR="00C3563D" w:rsidRDefault="00C3563D">
      <w:r>
        <w:separator/>
      </w:r>
    </w:p>
  </w:endnote>
  <w:endnote w:type="continuationSeparator" w:id="0">
    <w:p w14:paraId="597B60A7" w14:textId="77777777" w:rsidR="00C3563D" w:rsidRDefault="00C35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4880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9CF136A" wp14:editId="38287EA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14E8A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72DAE9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CF136A"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14:paraId="0214E8A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72DAE9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48EDE61" wp14:editId="77F5D45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2E7E0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AA5521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8EDE6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14:paraId="682E7E0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AA5521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CDF70FC" wp14:editId="12FE3EB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DAD19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0A6A52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DF70F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14:paraId="47DAD19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0A6A52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F3F5A" w14:textId="77777777" w:rsidR="00C3563D" w:rsidRDefault="00C3563D">
      <w:r>
        <w:separator/>
      </w:r>
    </w:p>
  </w:footnote>
  <w:footnote w:type="continuationSeparator" w:id="0">
    <w:p w14:paraId="4FDF139D" w14:textId="77777777" w:rsidR="00C3563D" w:rsidRDefault="00C356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26FD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8C81429" wp14:editId="0EBA467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839F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C81429"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14:paraId="3EB839F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B2EB181" wp14:editId="695C6D0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C5AEC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5CF6D3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2EB181"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14:paraId="47C5AEC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5CF6D3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519392329">
    <w:abstractNumId w:val="0"/>
  </w:num>
  <w:num w:numId="2" w16cid:durableId="1118836394">
    <w:abstractNumId w:val="1"/>
  </w:num>
  <w:num w:numId="3" w16cid:durableId="73153817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841D4"/>
    <w:rsid w:val="000E2911"/>
    <w:rsid w:val="001263DF"/>
    <w:rsid w:val="001E763C"/>
    <w:rsid w:val="00202CC2"/>
    <w:rsid w:val="00292ED9"/>
    <w:rsid w:val="00303BBA"/>
    <w:rsid w:val="00314AFB"/>
    <w:rsid w:val="003B76D9"/>
    <w:rsid w:val="003E4B0E"/>
    <w:rsid w:val="00404E5B"/>
    <w:rsid w:val="00414F7B"/>
    <w:rsid w:val="004355DC"/>
    <w:rsid w:val="004749B4"/>
    <w:rsid w:val="00494130"/>
    <w:rsid w:val="004F3523"/>
    <w:rsid w:val="005973B9"/>
    <w:rsid w:val="005B3A56"/>
    <w:rsid w:val="006060CE"/>
    <w:rsid w:val="0063497F"/>
    <w:rsid w:val="00675D20"/>
    <w:rsid w:val="0078738A"/>
    <w:rsid w:val="00873DF0"/>
    <w:rsid w:val="008756E6"/>
    <w:rsid w:val="009B2D44"/>
    <w:rsid w:val="00A07E82"/>
    <w:rsid w:val="00A9710C"/>
    <w:rsid w:val="00AE3E37"/>
    <w:rsid w:val="00B21A57"/>
    <w:rsid w:val="00C33602"/>
    <w:rsid w:val="00C3563D"/>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F09B1A"/>
  <w15:docId w15:val="{B5BA6A79-7607-6643-A46A-BB6FB1D18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3E4B0E"/>
    <w:pPr>
      <w:widowControl/>
      <w:spacing w:before="100" w:beforeAutospacing="1" w:after="100" w:afterAutospacing="1"/>
    </w:pPr>
    <w:rPr>
      <w:rFonts w:ascii="Times New Roman" w:eastAsia="Times New Roman" w:hAnsi="Times New Roman" w:cs="Times New Roman"/>
      <w:sz w:val="24"/>
      <w:szCs w:val="24"/>
      <w:lang w:val="en-IN" w:eastAsia="en-GB"/>
    </w:rPr>
  </w:style>
  <w:style w:type="character" w:styleId="UnresolvedMention">
    <w:name w:val="Unresolved Mention"/>
    <w:basedOn w:val="DefaultParagraphFont"/>
    <w:uiPriority w:val="99"/>
    <w:semiHidden/>
    <w:unhideWhenUsed/>
    <w:rsid w:val="000841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eerush92@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440</Words>
  <Characters>2509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6</cp:revision>
  <dcterms:created xsi:type="dcterms:W3CDTF">2016-08-31T13:10:00Z</dcterms:created>
  <dcterms:modified xsi:type="dcterms:W3CDTF">2023-05-29T16:19:00Z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