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C71A1" w14:textId="77777777" w:rsidR="00047852" w:rsidRPr="00047852" w:rsidRDefault="00047852" w:rsidP="00047852">
      <w:pPr>
        <w:pStyle w:val="1"/>
        <w:rPr>
          <w:b w:val="0"/>
          <w:bCs w:val="0"/>
          <w:sz w:val="32"/>
          <w:szCs w:val="32"/>
        </w:rPr>
      </w:pPr>
      <w:r w:rsidRPr="00047852">
        <w:rPr>
          <w:sz w:val="32"/>
          <w:szCs w:val="32"/>
        </w:rPr>
        <w:t xml:space="preserve">Title: </w:t>
      </w:r>
      <w:bookmarkStart w:id="0" w:name="_Hlk90541124"/>
      <w:proofErr w:type="spellStart"/>
      <w:r w:rsidRPr="00047852">
        <w:rPr>
          <w:sz w:val="32"/>
          <w:szCs w:val="32"/>
        </w:rPr>
        <w:t>UPLC</w:t>
      </w:r>
      <w:proofErr w:type="spellEnd"/>
      <w:r w:rsidRPr="00047852">
        <w:rPr>
          <w:sz w:val="32"/>
          <w:szCs w:val="32"/>
        </w:rPr>
        <w:t>-MS</w:t>
      </w:r>
      <w:bookmarkEnd w:id="0"/>
      <w:r w:rsidRPr="00047852">
        <w:rPr>
          <w:sz w:val="32"/>
          <w:szCs w:val="32"/>
        </w:rPr>
        <w:t xml:space="preserve"> based integrated plasma proteomic and metabolomic profiling of </w:t>
      </w:r>
      <w:bookmarkStart w:id="1" w:name="_Hlk90541797"/>
      <w:proofErr w:type="spellStart"/>
      <w:r w:rsidRPr="00047852">
        <w:rPr>
          <w:sz w:val="32"/>
          <w:szCs w:val="32"/>
        </w:rPr>
        <w:t>TSC-RAML</w:t>
      </w:r>
      <w:bookmarkEnd w:id="1"/>
      <w:proofErr w:type="spellEnd"/>
      <w:r w:rsidRPr="00047852">
        <w:rPr>
          <w:sz w:val="32"/>
          <w:szCs w:val="32"/>
        </w:rPr>
        <w:t xml:space="preserve"> and </w:t>
      </w:r>
      <w:r w:rsidRPr="00047852">
        <w:rPr>
          <w:rFonts w:hint="eastAsia"/>
          <w:sz w:val="32"/>
          <w:szCs w:val="32"/>
        </w:rPr>
        <w:t>its</w:t>
      </w:r>
      <w:r w:rsidRPr="00047852">
        <w:rPr>
          <w:sz w:val="32"/>
          <w:szCs w:val="32"/>
        </w:rPr>
        <w:t xml:space="preserve"> relationship with </w:t>
      </w:r>
      <w:bookmarkStart w:id="2" w:name="_Hlk90551301"/>
      <w:proofErr w:type="spellStart"/>
      <w:r w:rsidRPr="00047852">
        <w:rPr>
          <w:sz w:val="32"/>
          <w:szCs w:val="32"/>
        </w:rPr>
        <w:t>everolimus</w:t>
      </w:r>
      <w:bookmarkEnd w:id="2"/>
      <w:proofErr w:type="spellEnd"/>
      <w:r w:rsidRPr="00047852">
        <w:rPr>
          <w:sz w:val="32"/>
          <w:szCs w:val="32"/>
        </w:rPr>
        <w:t xml:space="preserve"> treatment</w:t>
      </w:r>
    </w:p>
    <w:p w14:paraId="09CFD0EF" w14:textId="2B8CB0DE" w:rsidR="00047852" w:rsidRDefault="00047852" w:rsidP="00047852">
      <w:pPr>
        <w:spacing w:line="480" w:lineRule="auto"/>
        <w:rPr>
          <w:sz w:val="28"/>
          <w:szCs w:val="28"/>
          <w:vertAlign w:val="superscript"/>
        </w:rPr>
      </w:pPr>
      <w:bookmarkStart w:id="3" w:name="_Hlk90545577"/>
      <w:r w:rsidRPr="00047852">
        <w:rPr>
          <w:sz w:val="28"/>
          <w:szCs w:val="28"/>
        </w:rPr>
        <w:t>Zhan Wang</w:t>
      </w:r>
      <w:r w:rsidRPr="00047852">
        <w:rPr>
          <w:sz w:val="28"/>
          <w:szCs w:val="28"/>
          <w:vertAlign w:val="superscript"/>
        </w:rPr>
        <w:t>1+</w:t>
      </w:r>
      <w:r w:rsidRPr="00047852">
        <w:rPr>
          <w:sz w:val="28"/>
          <w:szCs w:val="28"/>
        </w:rPr>
        <w:t xml:space="preserve">, </w:t>
      </w:r>
      <w:proofErr w:type="spellStart"/>
      <w:r w:rsidRPr="00047852">
        <w:rPr>
          <w:sz w:val="28"/>
          <w:szCs w:val="28"/>
        </w:rPr>
        <w:t>Xiaoyan</w:t>
      </w:r>
      <w:proofErr w:type="spellEnd"/>
      <w:r w:rsidRPr="00047852">
        <w:rPr>
          <w:sz w:val="28"/>
          <w:szCs w:val="28"/>
        </w:rPr>
        <w:t xml:space="preserve"> Liu</w:t>
      </w:r>
      <w:r w:rsidRPr="00047852">
        <w:rPr>
          <w:sz w:val="28"/>
          <w:szCs w:val="28"/>
          <w:vertAlign w:val="superscript"/>
        </w:rPr>
        <w:t>2+</w:t>
      </w:r>
      <w:r w:rsidRPr="00047852">
        <w:rPr>
          <w:sz w:val="28"/>
          <w:szCs w:val="28"/>
        </w:rPr>
        <w:t xml:space="preserve">, </w:t>
      </w:r>
      <w:proofErr w:type="spellStart"/>
      <w:r w:rsidRPr="00047852">
        <w:rPr>
          <w:sz w:val="28"/>
          <w:szCs w:val="28"/>
        </w:rPr>
        <w:t>Wenda</w:t>
      </w:r>
      <w:proofErr w:type="spellEnd"/>
      <w:r w:rsidRPr="00047852">
        <w:rPr>
          <w:sz w:val="28"/>
          <w:szCs w:val="28"/>
        </w:rPr>
        <w:t xml:space="preserve"> Wang</w:t>
      </w:r>
      <w:r w:rsidRPr="00047852">
        <w:rPr>
          <w:sz w:val="28"/>
          <w:szCs w:val="28"/>
          <w:vertAlign w:val="superscript"/>
        </w:rPr>
        <w:t>1+</w:t>
      </w:r>
      <w:r w:rsidRPr="00047852">
        <w:rPr>
          <w:sz w:val="28"/>
          <w:szCs w:val="28"/>
        </w:rPr>
        <w:t>, Jiyu Xu</w:t>
      </w:r>
      <w:r w:rsidRPr="00047852">
        <w:rPr>
          <w:sz w:val="28"/>
          <w:szCs w:val="28"/>
          <w:vertAlign w:val="superscript"/>
        </w:rPr>
        <w:t>2</w:t>
      </w:r>
      <w:r w:rsidRPr="00047852">
        <w:rPr>
          <w:sz w:val="28"/>
          <w:szCs w:val="28"/>
        </w:rPr>
        <w:t xml:space="preserve">, </w:t>
      </w:r>
      <w:proofErr w:type="spellStart"/>
      <w:r w:rsidRPr="00047852">
        <w:rPr>
          <w:sz w:val="28"/>
          <w:szCs w:val="28"/>
        </w:rPr>
        <w:t>Ha</w:t>
      </w:r>
      <w:r w:rsidRPr="00047852">
        <w:rPr>
          <w:rFonts w:hint="eastAsia"/>
          <w:sz w:val="28"/>
          <w:szCs w:val="28"/>
        </w:rPr>
        <w:t>i</w:t>
      </w:r>
      <w:r w:rsidRPr="00047852">
        <w:rPr>
          <w:sz w:val="28"/>
          <w:szCs w:val="28"/>
        </w:rPr>
        <w:t>dan</w:t>
      </w:r>
      <w:proofErr w:type="spellEnd"/>
      <w:r w:rsidRPr="00047852">
        <w:rPr>
          <w:sz w:val="28"/>
          <w:szCs w:val="28"/>
        </w:rPr>
        <w:t xml:space="preserve"> Sun</w:t>
      </w:r>
      <w:r w:rsidRPr="00047852">
        <w:rPr>
          <w:sz w:val="28"/>
          <w:szCs w:val="28"/>
          <w:vertAlign w:val="superscript"/>
        </w:rPr>
        <w:t>2</w:t>
      </w:r>
      <w:r w:rsidRPr="00047852">
        <w:rPr>
          <w:sz w:val="28"/>
          <w:szCs w:val="28"/>
        </w:rPr>
        <w:t>, Jing Wei</w:t>
      </w:r>
      <w:r w:rsidRPr="00047852">
        <w:rPr>
          <w:sz w:val="28"/>
          <w:szCs w:val="28"/>
          <w:vertAlign w:val="superscript"/>
        </w:rPr>
        <w:t>3</w:t>
      </w:r>
      <w:r w:rsidRPr="00047852">
        <w:rPr>
          <w:sz w:val="28"/>
          <w:szCs w:val="28"/>
        </w:rPr>
        <w:t xml:space="preserve">, </w:t>
      </w:r>
      <w:proofErr w:type="spellStart"/>
      <w:r w:rsidRPr="00047852">
        <w:rPr>
          <w:sz w:val="28"/>
          <w:szCs w:val="28"/>
        </w:rPr>
        <w:t>Yuncui</w:t>
      </w:r>
      <w:proofErr w:type="spellEnd"/>
      <w:r w:rsidRPr="00047852">
        <w:rPr>
          <w:sz w:val="28"/>
          <w:szCs w:val="28"/>
        </w:rPr>
        <w:t xml:space="preserve"> Yu</w:t>
      </w:r>
      <w:r w:rsidRPr="00047852">
        <w:rPr>
          <w:sz w:val="28"/>
          <w:szCs w:val="28"/>
          <w:vertAlign w:val="superscript"/>
        </w:rPr>
        <w:t>3</w:t>
      </w:r>
      <w:r w:rsidRPr="00047852">
        <w:rPr>
          <w:sz w:val="28"/>
          <w:szCs w:val="28"/>
        </w:rPr>
        <w:t>, Yang Zhao</w:t>
      </w:r>
      <w:r w:rsidRPr="00047852">
        <w:rPr>
          <w:sz w:val="28"/>
          <w:szCs w:val="28"/>
          <w:vertAlign w:val="superscript"/>
        </w:rPr>
        <w:t>1</w:t>
      </w:r>
      <w:r w:rsidRPr="00047852">
        <w:rPr>
          <w:sz w:val="28"/>
          <w:szCs w:val="28"/>
        </w:rPr>
        <w:t>, Xu Wang</w:t>
      </w:r>
      <w:r w:rsidRPr="00047852">
        <w:rPr>
          <w:sz w:val="28"/>
          <w:szCs w:val="28"/>
          <w:vertAlign w:val="superscript"/>
        </w:rPr>
        <w:t>1</w:t>
      </w:r>
      <w:r w:rsidRPr="00047852">
        <w:rPr>
          <w:sz w:val="28"/>
          <w:szCs w:val="28"/>
        </w:rPr>
        <w:t xml:space="preserve">, </w:t>
      </w:r>
      <w:proofErr w:type="spellStart"/>
      <w:r w:rsidRPr="00047852">
        <w:rPr>
          <w:sz w:val="28"/>
          <w:szCs w:val="28"/>
        </w:rPr>
        <w:t>Zhangcheng</w:t>
      </w:r>
      <w:proofErr w:type="spellEnd"/>
      <w:r w:rsidRPr="00047852">
        <w:rPr>
          <w:sz w:val="28"/>
          <w:szCs w:val="28"/>
        </w:rPr>
        <w:t xml:space="preserve"> Liao</w:t>
      </w:r>
      <w:r w:rsidRPr="00047852">
        <w:rPr>
          <w:sz w:val="28"/>
          <w:szCs w:val="28"/>
          <w:vertAlign w:val="superscript"/>
        </w:rPr>
        <w:t>1</w:t>
      </w:r>
      <w:r w:rsidRPr="00047852">
        <w:rPr>
          <w:sz w:val="28"/>
          <w:szCs w:val="28"/>
        </w:rPr>
        <w:t>, Wei Sun</w:t>
      </w:r>
      <w:r w:rsidRPr="00047852">
        <w:rPr>
          <w:sz w:val="28"/>
          <w:szCs w:val="28"/>
          <w:vertAlign w:val="superscript"/>
        </w:rPr>
        <w:t>2*</w:t>
      </w:r>
      <w:r w:rsidRPr="00047852">
        <w:rPr>
          <w:sz w:val="28"/>
          <w:szCs w:val="28"/>
        </w:rPr>
        <w:t xml:space="preserve">, </w:t>
      </w:r>
      <w:bookmarkStart w:id="4" w:name="_Hlk90551791"/>
      <w:r w:rsidRPr="00047852">
        <w:rPr>
          <w:sz w:val="28"/>
          <w:szCs w:val="28"/>
        </w:rPr>
        <w:t>Lulu Jia</w:t>
      </w:r>
      <w:bookmarkEnd w:id="4"/>
      <w:r w:rsidRPr="00047852">
        <w:rPr>
          <w:sz w:val="28"/>
          <w:szCs w:val="28"/>
          <w:vertAlign w:val="superscript"/>
        </w:rPr>
        <w:t>3*</w:t>
      </w:r>
      <w:r w:rsidRPr="00047852">
        <w:rPr>
          <w:sz w:val="28"/>
          <w:szCs w:val="28"/>
        </w:rPr>
        <w:t xml:space="preserve"> and </w:t>
      </w:r>
      <w:proofErr w:type="spellStart"/>
      <w:r w:rsidRPr="00047852">
        <w:rPr>
          <w:sz w:val="28"/>
          <w:szCs w:val="28"/>
        </w:rPr>
        <w:t>Yushi</w:t>
      </w:r>
      <w:proofErr w:type="spellEnd"/>
      <w:r w:rsidRPr="00047852">
        <w:rPr>
          <w:sz w:val="28"/>
          <w:szCs w:val="28"/>
        </w:rPr>
        <w:t xml:space="preserve"> Zhang</w:t>
      </w:r>
      <w:r w:rsidRPr="00047852">
        <w:rPr>
          <w:sz w:val="28"/>
          <w:szCs w:val="28"/>
          <w:vertAlign w:val="superscript"/>
        </w:rPr>
        <w:t>1*</w:t>
      </w:r>
    </w:p>
    <w:p w14:paraId="6C87FC05" w14:textId="77777777" w:rsidR="00D90517" w:rsidRPr="008B5A3B" w:rsidRDefault="00D90517" w:rsidP="00D90517">
      <w:pPr>
        <w:spacing w:line="480" w:lineRule="auto"/>
        <w:rPr>
          <w:sz w:val="28"/>
          <w:szCs w:val="28"/>
        </w:rPr>
      </w:pPr>
      <w:r w:rsidRPr="008B5A3B">
        <w:rPr>
          <w:sz w:val="28"/>
          <w:szCs w:val="28"/>
          <w:vertAlign w:val="superscript"/>
        </w:rPr>
        <w:t>1</w:t>
      </w:r>
      <w:r w:rsidRPr="008B5A3B">
        <w:rPr>
          <w:sz w:val="28"/>
          <w:szCs w:val="28"/>
        </w:rPr>
        <w:t>Department of Urology; Peking Union Medical College Hospital, Chinese Academy of Medical Science and Peking Union Medical College, Beijing 100730, China</w:t>
      </w:r>
    </w:p>
    <w:p w14:paraId="37DC47AC" w14:textId="77777777" w:rsidR="00D90517" w:rsidRPr="008B5A3B" w:rsidRDefault="00D90517" w:rsidP="00D90517">
      <w:pPr>
        <w:spacing w:line="480" w:lineRule="auto"/>
        <w:rPr>
          <w:sz w:val="32"/>
          <w:szCs w:val="32"/>
        </w:rPr>
      </w:pPr>
      <w:r w:rsidRPr="008B5A3B">
        <w:rPr>
          <w:sz w:val="28"/>
          <w:szCs w:val="28"/>
          <w:vertAlign w:val="superscript"/>
        </w:rPr>
        <w:t>2</w:t>
      </w:r>
      <w:r w:rsidRPr="008B5A3B">
        <w:rPr>
          <w:sz w:val="28"/>
          <w:szCs w:val="28"/>
        </w:rPr>
        <w:t>Core facility of instrument, Institution of Basic Medical Sciences, Chinese Academy of Medical Sciences, School of Basic Medical College, Beijing 100730, China</w:t>
      </w:r>
    </w:p>
    <w:p w14:paraId="18B67511" w14:textId="77777777" w:rsidR="00D90517" w:rsidRPr="008B5A3B" w:rsidRDefault="00D90517" w:rsidP="00D90517">
      <w:pPr>
        <w:spacing w:line="480" w:lineRule="auto"/>
        <w:rPr>
          <w:sz w:val="28"/>
          <w:szCs w:val="28"/>
        </w:rPr>
      </w:pPr>
      <w:r w:rsidRPr="008B5A3B">
        <w:rPr>
          <w:sz w:val="28"/>
          <w:szCs w:val="28"/>
          <w:vertAlign w:val="superscript"/>
        </w:rPr>
        <w:t>3</w:t>
      </w:r>
      <w:r w:rsidRPr="008B5A3B">
        <w:rPr>
          <w:sz w:val="28"/>
          <w:szCs w:val="28"/>
        </w:rPr>
        <w:t>Clinical Research Center, National Center for Children’s Health, Beijing Children’s Hospital, Capital Medical University, Beijing, China</w:t>
      </w:r>
    </w:p>
    <w:p w14:paraId="2AB5D003" w14:textId="77777777" w:rsidR="00D90517" w:rsidRPr="008B5A3B" w:rsidRDefault="00D90517" w:rsidP="00D90517">
      <w:pPr>
        <w:spacing w:line="480" w:lineRule="auto"/>
        <w:rPr>
          <w:sz w:val="32"/>
          <w:szCs w:val="32"/>
        </w:rPr>
      </w:pPr>
      <w:r w:rsidRPr="00085008">
        <w:rPr>
          <w:sz w:val="32"/>
          <w:szCs w:val="32"/>
          <w:vertAlign w:val="superscript"/>
        </w:rPr>
        <w:t>+</w:t>
      </w:r>
      <w:r w:rsidRPr="008B5A3B">
        <w:rPr>
          <w:sz w:val="32"/>
          <w:szCs w:val="32"/>
        </w:rPr>
        <w:t>These authors contribute equally to the article.</w:t>
      </w:r>
    </w:p>
    <w:p w14:paraId="1BF9DDD5" w14:textId="77777777" w:rsidR="00D90517" w:rsidRPr="008B5A3B" w:rsidRDefault="00D90517" w:rsidP="00D90517">
      <w:pPr>
        <w:spacing w:line="480" w:lineRule="auto"/>
        <w:rPr>
          <w:sz w:val="32"/>
          <w:szCs w:val="32"/>
        </w:rPr>
      </w:pPr>
    </w:p>
    <w:p w14:paraId="5BBFE694" w14:textId="20FC9BE2" w:rsidR="00D90517" w:rsidRDefault="00D90517" w:rsidP="00D90517">
      <w:pPr>
        <w:spacing w:line="480" w:lineRule="auto"/>
        <w:rPr>
          <w:sz w:val="32"/>
          <w:szCs w:val="32"/>
        </w:rPr>
      </w:pPr>
      <w:r w:rsidRPr="008B5A3B">
        <w:rPr>
          <w:sz w:val="32"/>
          <w:szCs w:val="32"/>
        </w:rPr>
        <w:t xml:space="preserve">*Corresponding author: </w:t>
      </w:r>
      <w:proofErr w:type="spellStart"/>
      <w:r w:rsidRPr="008B5A3B">
        <w:rPr>
          <w:sz w:val="32"/>
          <w:szCs w:val="32"/>
        </w:rPr>
        <w:t>Yushi</w:t>
      </w:r>
      <w:proofErr w:type="spellEnd"/>
      <w:r w:rsidRPr="008B5A3B">
        <w:rPr>
          <w:sz w:val="32"/>
          <w:szCs w:val="32"/>
        </w:rPr>
        <w:t xml:space="preserve"> Zhang, email:beijingzhangyushi@126.com</w:t>
      </w:r>
    </w:p>
    <w:p w14:paraId="6A05CB1B" w14:textId="77777777" w:rsidR="00D90517" w:rsidRPr="00D90517" w:rsidRDefault="00D90517" w:rsidP="00047852">
      <w:pPr>
        <w:spacing w:line="480" w:lineRule="auto"/>
        <w:rPr>
          <w:rFonts w:hint="eastAsia"/>
          <w:sz w:val="28"/>
          <w:szCs w:val="28"/>
          <w:vertAlign w:val="superscript"/>
        </w:rPr>
      </w:pPr>
    </w:p>
    <w:bookmarkEnd w:id="3"/>
    <w:p w14:paraId="5A437629" w14:textId="3C8A3C8F" w:rsidR="00047852" w:rsidRPr="00047852" w:rsidRDefault="00047852"/>
    <w:p w14:paraId="555D2E0B" w14:textId="77777777" w:rsidR="00047852" w:rsidRPr="00047852" w:rsidRDefault="00047852" w:rsidP="00047852">
      <w:pPr>
        <w:spacing w:line="480" w:lineRule="auto"/>
        <w:jc w:val="center"/>
        <w:rPr>
          <w:b/>
          <w:bCs/>
          <w:sz w:val="32"/>
          <w:szCs w:val="32"/>
        </w:rPr>
      </w:pPr>
      <w:r w:rsidRPr="00047852">
        <w:rPr>
          <w:b/>
          <w:bCs/>
          <w:sz w:val="32"/>
          <w:szCs w:val="32"/>
        </w:rPr>
        <w:lastRenderedPageBreak/>
        <w:t>Abstract</w:t>
      </w:r>
    </w:p>
    <w:p w14:paraId="72BC3A67" w14:textId="77777777" w:rsidR="00047852" w:rsidRPr="00047852" w:rsidRDefault="00047852" w:rsidP="00047852">
      <w:pPr>
        <w:spacing w:line="480" w:lineRule="auto"/>
        <w:rPr>
          <w:sz w:val="28"/>
          <w:szCs w:val="28"/>
        </w:rPr>
      </w:pPr>
      <w:r w:rsidRPr="00047852">
        <w:rPr>
          <w:b/>
          <w:bCs/>
          <w:sz w:val="28"/>
          <w:szCs w:val="28"/>
        </w:rPr>
        <w:t xml:space="preserve">Aim: </w:t>
      </w:r>
      <w:r w:rsidRPr="00047852">
        <w:rPr>
          <w:sz w:val="28"/>
          <w:szCs w:val="28"/>
        </w:rPr>
        <w:t>To profile the plasma proteomics and metabolomics of patients with renal cyst</w:t>
      </w:r>
      <w:r w:rsidRPr="00047852">
        <w:rPr>
          <w:rFonts w:hint="eastAsia"/>
          <w:sz w:val="28"/>
          <w:szCs w:val="28"/>
        </w:rPr>
        <w:t>s</w:t>
      </w:r>
      <w:r w:rsidRPr="00047852">
        <w:rPr>
          <w:sz w:val="28"/>
          <w:szCs w:val="28"/>
        </w:rPr>
        <w:t>,</w:t>
      </w:r>
      <w:bookmarkStart w:id="5" w:name="_Hlk90541810"/>
      <w:r w:rsidRPr="00047852">
        <w:rPr>
          <w:sz w:val="28"/>
          <w:szCs w:val="28"/>
        </w:rPr>
        <w:t xml:space="preserve"> </w:t>
      </w:r>
      <w:r w:rsidRPr="00047852">
        <w:rPr>
          <w:rFonts w:hint="eastAsia"/>
          <w:sz w:val="28"/>
          <w:szCs w:val="28"/>
        </w:rPr>
        <w:t>sp</w:t>
      </w:r>
      <w:r w:rsidRPr="00047852">
        <w:rPr>
          <w:sz w:val="28"/>
          <w:szCs w:val="28"/>
        </w:rPr>
        <w:t>oradic angiomyolipoma (S-AML</w:t>
      </w:r>
      <w:bookmarkEnd w:id="5"/>
      <w:r w:rsidRPr="00047852">
        <w:rPr>
          <w:sz w:val="28"/>
          <w:szCs w:val="28"/>
        </w:rPr>
        <w:t>) and tuberous sclerosis complex related angiomyolipoma (</w:t>
      </w:r>
      <w:proofErr w:type="spellStart"/>
      <w:r w:rsidRPr="00047852">
        <w:rPr>
          <w:sz w:val="28"/>
          <w:szCs w:val="28"/>
        </w:rPr>
        <w:t>TSC-RAML</w:t>
      </w:r>
      <w:proofErr w:type="spellEnd"/>
      <w:r w:rsidRPr="00047852">
        <w:rPr>
          <w:sz w:val="28"/>
          <w:szCs w:val="28"/>
        </w:rPr>
        <w:t xml:space="preserve">) before and after </w:t>
      </w:r>
      <w:proofErr w:type="spellStart"/>
      <w:r w:rsidRPr="00047852">
        <w:rPr>
          <w:sz w:val="28"/>
          <w:szCs w:val="28"/>
        </w:rPr>
        <w:t>everolimus</w:t>
      </w:r>
      <w:proofErr w:type="spellEnd"/>
      <w:r w:rsidRPr="00047852">
        <w:rPr>
          <w:sz w:val="28"/>
          <w:szCs w:val="28"/>
        </w:rPr>
        <w:t xml:space="preserve"> treatment, and to find potential diagnostic and prognostic biomarkers as well as reveal the underlying mechanism of </w:t>
      </w:r>
      <w:bookmarkStart w:id="6" w:name="_Hlk90541820"/>
      <w:proofErr w:type="spellStart"/>
      <w:r w:rsidRPr="00047852">
        <w:rPr>
          <w:sz w:val="28"/>
          <w:szCs w:val="28"/>
        </w:rPr>
        <w:t>TSC</w:t>
      </w:r>
      <w:bookmarkEnd w:id="6"/>
      <w:proofErr w:type="spellEnd"/>
      <w:r w:rsidRPr="00047852">
        <w:rPr>
          <w:sz w:val="28"/>
          <w:szCs w:val="28"/>
        </w:rPr>
        <w:t xml:space="preserve"> tumorigenesis.</w:t>
      </w:r>
    </w:p>
    <w:p w14:paraId="3A197C87" w14:textId="77777777" w:rsidR="00047852" w:rsidRPr="00047852" w:rsidRDefault="00047852" w:rsidP="00047852">
      <w:pPr>
        <w:spacing w:line="480" w:lineRule="auto"/>
        <w:rPr>
          <w:sz w:val="28"/>
          <w:szCs w:val="28"/>
        </w:rPr>
      </w:pPr>
      <w:r w:rsidRPr="00047852">
        <w:rPr>
          <w:b/>
          <w:bCs/>
          <w:sz w:val="28"/>
          <w:szCs w:val="28"/>
        </w:rPr>
        <w:t xml:space="preserve">Materials and Methods: </w:t>
      </w:r>
      <w:r w:rsidRPr="00047852">
        <w:rPr>
          <w:sz w:val="28"/>
          <w:szCs w:val="28"/>
        </w:rPr>
        <w:t xml:space="preserve">We retrospectively measured the plasma </w:t>
      </w:r>
      <w:bookmarkStart w:id="7" w:name="_Hlk90551528"/>
      <w:r w:rsidRPr="00047852">
        <w:rPr>
          <w:sz w:val="28"/>
          <w:szCs w:val="28"/>
        </w:rPr>
        <w:t xml:space="preserve">proteins and metabolites </w:t>
      </w:r>
      <w:bookmarkEnd w:id="7"/>
      <w:r w:rsidRPr="00047852">
        <w:rPr>
          <w:sz w:val="28"/>
          <w:szCs w:val="28"/>
        </w:rPr>
        <w:t xml:space="preserve">from November 2016 to November 2017 in a cohort of pre-treatment and post-treatment </w:t>
      </w:r>
      <w:proofErr w:type="spellStart"/>
      <w:r w:rsidRPr="00047852">
        <w:rPr>
          <w:sz w:val="28"/>
          <w:szCs w:val="28"/>
        </w:rPr>
        <w:t>TSC-RAML</w:t>
      </w:r>
      <w:proofErr w:type="spellEnd"/>
      <w:r w:rsidRPr="00047852">
        <w:rPr>
          <w:sz w:val="28"/>
          <w:szCs w:val="28"/>
        </w:rPr>
        <w:t xml:space="preserve"> patients and compared them with renal cyst and S-AML patients by ultra-performance liquid chromatography-mass spectrometer (</w:t>
      </w:r>
      <w:proofErr w:type="spellStart"/>
      <w:r w:rsidRPr="00047852">
        <w:rPr>
          <w:sz w:val="28"/>
          <w:szCs w:val="28"/>
        </w:rPr>
        <w:t>UPLC</w:t>
      </w:r>
      <w:proofErr w:type="spellEnd"/>
      <w:r w:rsidRPr="00047852">
        <w:rPr>
          <w:sz w:val="28"/>
          <w:szCs w:val="28"/>
        </w:rPr>
        <w:t xml:space="preserve">-MS). The tumor reduction rates of </w:t>
      </w:r>
      <w:proofErr w:type="spellStart"/>
      <w:r w:rsidRPr="00047852">
        <w:rPr>
          <w:sz w:val="28"/>
          <w:szCs w:val="28"/>
        </w:rPr>
        <w:t>TSC-RAML</w:t>
      </w:r>
      <w:proofErr w:type="spellEnd"/>
      <w:r w:rsidRPr="00047852">
        <w:rPr>
          <w:sz w:val="28"/>
          <w:szCs w:val="28"/>
        </w:rPr>
        <w:t xml:space="preserve"> were assessed and correlated with the plasma protein and metabolite levels. In addition, functional analysis based on differentially expressed molecules was performed to reveal the underlying mechanisms. </w:t>
      </w:r>
    </w:p>
    <w:p w14:paraId="7ECB0B4D" w14:textId="77777777" w:rsidR="00047852" w:rsidRPr="00047852" w:rsidRDefault="00047852" w:rsidP="00047852">
      <w:pPr>
        <w:spacing w:line="480" w:lineRule="auto"/>
        <w:rPr>
          <w:b/>
          <w:bCs/>
          <w:sz w:val="28"/>
          <w:szCs w:val="28"/>
        </w:rPr>
      </w:pPr>
      <w:r w:rsidRPr="00047852">
        <w:rPr>
          <w:b/>
          <w:bCs/>
          <w:sz w:val="28"/>
          <w:szCs w:val="28"/>
        </w:rPr>
        <w:t xml:space="preserve">Results: </w:t>
      </w:r>
      <w:r w:rsidRPr="00047852">
        <w:rPr>
          <w:sz w:val="28"/>
          <w:szCs w:val="28"/>
        </w:rPr>
        <w:t xml:space="preserve">Eighty-five patients with one hundred and ten plasma samples were enrolled in our study. </w:t>
      </w:r>
      <w:bookmarkStart w:id="8" w:name="_Hlk90551578"/>
      <w:r w:rsidRPr="00047852">
        <w:rPr>
          <w:sz w:val="28"/>
          <w:szCs w:val="28"/>
        </w:rPr>
        <w:t xml:space="preserve">Multiple proteins and metabolites, such as </w:t>
      </w:r>
      <w:bookmarkStart w:id="9" w:name="_Hlk90541839"/>
      <w:r w:rsidRPr="00047852">
        <w:rPr>
          <w:sz w:val="28"/>
          <w:szCs w:val="28"/>
        </w:rPr>
        <w:t>pre-melanosome protein (</w:t>
      </w:r>
      <w:proofErr w:type="spellStart"/>
      <w:r w:rsidRPr="00047852">
        <w:rPr>
          <w:sz w:val="28"/>
          <w:szCs w:val="28"/>
        </w:rPr>
        <w:t>PMEL</w:t>
      </w:r>
      <w:bookmarkEnd w:id="9"/>
      <w:proofErr w:type="spellEnd"/>
      <w:r w:rsidRPr="00047852">
        <w:rPr>
          <w:sz w:val="28"/>
          <w:szCs w:val="28"/>
        </w:rPr>
        <w:t xml:space="preserve">) and </w:t>
      </w:r>
      <w:bookmarkStart w:id="10" w:name="_Hlk90541845"/>
      <w:r w:rsidRPr="00047852">
        <w:rPr>
          <w:rFonts w:eastAsia="黑体"/>
          <w:sz w:val="28"/>
          <w:szCs w:val="28"/>
        </w:rPr>
        <w:t>S-adenosylmethionine</w:t>
      </w:r>
      <w:r w:rsidRPr="00047852">
        <w:rPr>
          <w:sz w:val="28"/>
          <w:szCs w:val="28"/>
        </w:rPr>
        <w:t xml:space="preserve"> (SAM</w:t>
      </w:r>
      <w:bookmarkEnd w:id="10"/>
      <w:r w:rsidRPr="00047852">
        <w:rPr>
          <w:sz w:val="28"/>
          <w:szCs w:val="28"/>
        </w:rPr>
        <w:t>), demonstrated both diagnostic and prognostic</w:t>
      </w:r>
      <w:bookmarkEnd w:id="8"/>
      <w:r w:rsidRPr="00047852">
        <w:rPr>
          <w:sz w:val="28"/>
          <w:szCs w:val="28"/>
        </w:rPr>
        <w:t xml:space="preserve"> effects. Functional analysis revealed many dysregulated pathways, including angiogenesis synthesis, smooth muscle proliferation and migration, amino acid metabolism and </w:t>
      </w:r>
      <w:r w:rsidRPr="00047852">
        <w:rPr>
          <w:rFonts w:eastAsia="黑体"/>
          <w:sz w:val="28"/>
          <w:szCs w:val="28"/>
        </w:rPr>
        <w:lastRenderedPageBreak/>
        <w:t>glycerophospholipid metabolism.</w:t>
      </w:r>
      <w:r w:rsidRPr="00047852">
        <w:rPr>
          <w:sz w:val="28"/>
          <w:szCs w:val="28"/>
        </w:rPr>
        <w:t xml:space="preserve">  </w:t>
      </w:r>
    </w:p>
    <w:p w14:paraId="4E7D7505" w14:textId="77777777" w:rsidR="00047852" w:rsidRPr="00047852" w:rsidRDefault="00047852" w:rsidP="00047852">
      <w:pPr>
        <w:spacing w:line="480" w:lineRule="auto"/>
        <w:rPr>
          <w:b/>
          <w:bCs/>
          <w:sz w:val="28"/>
          <w:szCs w:val="28"/>
        </w:rPr>
      </w:pPr>
      <w:r w:rsidRPr="00047852">
        <w:rPr>
          <w:b/>
          <w:bCs/>
          <w:sz w:val="28"/>
          <w:szCs w:val="28"/>
        </w:rPr>
        <w:t>Conclusions:</w:t>
      </w:r>
      <w:r w:rsidRPr="00047852">
        <w:rPr>
          <w:sz w:val="28"/>
          <w:szCs w:val="28"/>
        </w:rPr>
        <w:t xml:space="preserve"> The plasma proteomics and metabolomics pattern of </w:t>
      </w:r>
      <w:proofErr w:type="spellStart"/>
      <w:r w:rsidRPr="00047852">
        <w:rPr>
          <w:sz w:val="28"/>
          <w:szCs w:val="28"/>
        </w:rPr>
        <w:t>TSC-RAML</w:t>
      </w:r>
      <w:proofErr w:type="spellEnd"/>
      <w:r w:rsidRPr="00047852">
        <w:rPr>
          <w:sz w:val="28"/>
          <w:szCs w:val="28"/>
        </w:rPr>
        <w:t xml:space="preserve"> was clearly different from that of other renal tumors, and the differentially expressed plasma molecules could be used as prognostic and diagnostic biomarkers. </w:t>
      </w:r>
      <w:bookmarkStart w:id="11" w:name="_Hlk90551621"/>
      <w:r w:rsidRPr="00047852">
        <w:rPr>
          <w:sz w:val="28"/>
          <w:szCs w:val="28"/>
        </w:rPr>
        <w:t xml:space="preserve">The dysregulated pathways, such as angiogenesis and amino acid metabolism, may shed new light on the treatment of </w:t>
      </w:r>
      <w:proofErr w:type="spellStart"/>
      <w:r w:rsidRPr="00047852">
        <w:rPr>
          <w:sz w:val="28"/>
          <w:szCs w:val="28"/>
        </w:rPr>
        <w:t>TSC-RAML</w:t>
      </w:r>
      <w:proofErr w:type="spellEnd"/>
      <w:r w:rsidRPr="00047852">
        <w:rPr>
          <w:sz w:val="28"/>
          <w:szCs w:val="28"/>
        </w:rPr>
        <w:t>.</w:t>
      </w:r>
    </w:p>
    <w:bookmarkEnd w:id="11"/>
    <w:p w14:paraId="3DFF17F5" w14:textId="77777777" w:rsidR="00047852" w:rsidRPr="008B5A3B" w:rsidRDefault="00047852" w:rsidP="00047852">
      <w:pPr>
        <w:spacing w:line="480" w:lineRule="auto"/>
        <w:rPr>
          <w:sz w:val="28"/>
          <w:szCs w:val="28"/>
        </w:rPr>
      </w:pPr>
      <w:r w:rsidRPr="00047852">
        <w:rPr>
          <w:b/>
          <w:bCs/>
          <w:sz w:val="28"/>
          <w:szCs w:val="28"/>
        </w:rPr>
        <w:t xml:space="preserve">Key words: </w:t>
      </w:r>
      <w:proofErr w:type="spellStart"/>
      <w:r w:rsidRPr="00047852">
        <w:rPr>
          <w:sz w:val="28"/>
          <w:szCs w:val="28"/>
        </w:rPr>
        <w:t>UPLC</w:t>
      </w:r>
      <w:proofErr w:type="spellEnd"/>
      <w:r w:rsidRPr="00047852">
        <w:rPr>
          <w:sz w:val="28"/>
          <w:szCs w:val="28"/>
        </w:rPr>
        <w:t xml:space="preserve">-MS; proteomics; metabolomics; tuberous sclerosis complex; </w:t>
      </w:r>
      <w:proofErr w:type="spellStart"/>
      <w:r w:rsidRPr="00047852">
        <w:rPr>
          <w:sz w:val="28"/>
          <w:szCs w:val="28"/>
        </w:rPr>
        <w:t>everolimus</w:t>
      </w:r>
      <w:proofErr w:type="spellEnd"/>
    </w:p>
    <w:p w14:paraId="5F1F7876" w14:textId="77777777" w:rsidR="00047852" w:rsidRPr="00047852" w:rsidRDefault="00047852">
      <w:pPr>
        <w:rPr>
          <w:rFonts w:hint="eastAsia"/>
        </w:rPr>
      </w:pPr>
    </w:p>
    <w:sectPr w:rsidR="00047852" w:rsidRPr="000478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852"/>
    <w:rsid w:val="00047852"/>
    <w:rsid w:val="00D90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0E1B0"/>
  <w15:chartTrackingRefBased/>
  <w15:docId w15:val="{311F890A-D976-4E9E-A884-8B3BCFEA3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852"/>
    <w:pPr>
      <w:widowControl w:val="0"/>
      <w:jc w:val="both"/>
    </w:pPr>
    <w:rPr>
      <w:rFonts w:ascii="Times New Roman" w:hAnsi="Times New Roman" w:cs="Times New Roman"/>
      <w:sz w:val="30"/>
      <w:szCs w:val="3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4785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rPr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47852"/>
    <w:rPr>
      <w:rFonts w:ascii="Times New Roman" w:hAnsi="Times New Roman" w:cs="Times New Roman"/>
      <w:b/>
      <w:bCs/>
      <w:kern w:val="44"/>
      <w:sz w:val="44"/>
      <w:szCs w:val="4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399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站</dc:creator>
  <cp:keywords/>
  <dc:description/>
  <cp:lastModifiedBy>站</cp:lastModifiedBy>
  <cp:revision>2</cp:revision>
  <dcterms:created xsi:type="dcterms:W3CDTF">2023-03-07T07:10:00Z</dcterms:created>
  <dcterms:modified xsi:type="dcterms:W3CDTF">2023-03-07T07:12:00Z</dcterms:modified>
</cp:coreProperties>
</file>