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0F300" w14:textId="08B45D29" w:rsidR="00AE3E37" w:rsidRDefault="00E2405F" w:rsidP="00494130">
      <w:pPr>
        <w:pStyle w:val="Titre1"/>
        <w:spacing w:before="170"/>
        <w:ind w:left="0"/>
      </w:pPr>
      <w:r w:rsidRPr="00E2405F">
        <w:rPr>
          <w:color w:val="337AB7"/>
        </w:rPr>
        <w:t>DITROVIE SCALE: TRANSLATION AND VALIDATION IN STANDARD ARABIC</w:t>
      </w:r>
    </w:p>
    <w:p w14:paraId="7CD705DD" w14:textId="61137A68" w:rsidR="0078738A" w:rsidRDefault="0078738A" w:rsidP="00A8748F">
      <w:pPr>
        <w:pStyle w:val="Corpsdetexte"/>
        <w:spacing w:before="73" w:line="198" w:lineRule="exact"/>
        <w:ind w:left="100" w:right="3177"/>
        <w:rPr>
          <w:rFonts w:ascii="Arial"/>
        </w:rPr>
      </w:pPr>
      <w:r>
        <w:rPr>
          <w:rFonts w:ascii="Arial"/>
        </w:rPr>
        <w:t xml:space="preserve">Dr </w:t>
      </w:r>
      <w:r w:rsidR="00A8748F">
        <w:rPr>
          <w:rFonts w:ascii="Arial"/>
        </w:rPr>
        <w:t>KSIBI IMENE</w:t>
      </w:r>
      <w:r w:rsidR="005973B9">
        <w:rPr>
          <w:rFonts w:ascii="Arial"/>
        </w:rPr>
        <w:t xml:space="preserve">, </w:t>
      </w:r>
      <w:r w:rsidR="00A8748F">
        <w:rPr>
          <w:rFonts w:ascii="Arial"/>
        </w:rPr>
        <w:t>ASSOCIATE Pr in PMR</w:t>
      </w:r>
      <w:r w:rsidR="005973B9">
        <w:rPr>
          <w:rFonts w:ascii="Arial"/>
        </w:rPr>
        <w:t xml:space="preserve"> </w:t>
      </w:r>
      <w:r w:rsidR="00A8748F">
        <w:rPr>
          <w:rFonts w:ascii="Arial"/>
        </w:rPr>
        <w:t>, MILITARY HOSPITAL OF TUNIS</w:t>
      </w:r>
    </w:p>
    <w:p w14:paraId="4212FDCD" w14:textId="77777777" w:rsidR="00A8748F" w:rsidRDefault="0078738A" w:rsidP="00A8748F">
      <w:pPr>
        <w:pStyle w:val="Corpsdetexte"/>
        <w:spacing w:before="73" w:line="198" w:lineRule="exact"/>
        <w:ind w:left="100" w:right="3177"/>
        <w:rPr>
          <w:rFonts w:ascii="Arial"/>
        </w:rPr>
      </w:pPr>
      <w:r>
        <w:rPr>
          <w:rFonts w:ascii="Arial"/>
        </w:rPr>
        <w:t xml:space="preserve">Dr </w:t>
      </w:r>
      <w:r w:rsidR="00A8748F">
        <w:rPr>
          <w:rFonts w:ascii="Arial"/>
        </w:rPr>
        <w:t>BEN AMOR KAIS</w:t>
      </w:r>
      <w:r w:rsidR="005973B9">
        <w:rPr>
          <w:rFonts w:ascii="Arial"/>
        </w:rPr>
        <w:t xml:space="preserve">, </w:t>
      </w:r>
      <w:r w:rsidR="00A8748F">
        <w:rPr>
          <w:rFonts w:ascii="Arial"/>
        </w:rPr>
        <w:t>RESIDENT in PMR</w:t>
      </w:r>
      <w:r w:rsidR="005973B9">
        <w:rPr>
          <w:rFonts w:ascii="Arial"/>
        </w:rPr>
        <w:t xml:space="preserve">, </w:t>
      </w:r>
      <w:r w:rsidR="00A8748F">
        <w:rPr>
          <w:rFonts w:ascii="Arial"/>
        </w:rPr>
        <w:t>MILITARY HOSPITAL OF TUNIS</w:t>
      </w:r>
    </w:p>
    <w:p w14:paraId="6008D855" w14:textId="6D9F7BC2" w:rsidR="005973B9" w:rsidRDefault="005973B9" w:rsidP="005973B9">
      <w:pPr>
        <w:pStyle w:val="Corpsdetexte"/>
        <w:spacing w:before="73" w:line="198" w:lineRule="exact"/>
        <w:ind w:left="100" w:right="5987"/>
        <w:rPr>
          <w:rFonts w:ascii="Arial"/>
        </w:rPr>
      </w:pPr>
    </w:p>
    <w:p w14:paraId="4E602831" w14:textId="575D08DA" w:rsidR="00AE3E37" w:rsidRDefault="00AE3E37">
      <w:pPr>
        <w:pStyle w:val="Corpsdetexte"/>
        <w:rPr>
          <w:rFonts w:ascii="Arial"/>
          <w:sz w:val="20"/>
        </w:rPr>
      </w:pPr>
    </w:p>
    <w:p w14:paraId="59F2CE8B" w14:textId="0D143287" w:rsidR="00AE3E37" w:rsidRDefault="00AE3E37">
      <w:pPr>
        <w:pStyle w:val="Corpsdetexte"/>
        <w:spacing w:before="3"/>
        <w:rPr>
          <w:rFonts w:ascii="Arial"/>
          <w:sz w:val="21"/>
        </w:rPr>
      </w:pPr>
    </w:p>
    <w:p w14:paraId="52EA962B" w14:textId="0E9023EB"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C8FCA23" w14:textId="399C72FB" w:rsidR="00AE3E37" w:rsidRDefault="00A9710C">
      <w:pPr>
        <w:pStyle w:val="Titre3"/>
        <w:spacing w:before="147"/>
        <w:jc w:val="both"/>
      </w:pPr>
      <w:r>
        <w:rPr>
          <w:color w:val="BF5A14"/>
        </w:rPr>
        <w:t>Abstract</w:t>
      </w:r>
      <w:r w:rsidR="00404E5B">
        <w:rPr>
          <w:color w:val="BF5A14"/>
        </w:rPr>
        <w:t xml:space="preserve"> </w:t>
      </w:r>
    </w:p>
    <w:p w14:paraId="57F99189" w14:textId="04E92F50" w:rsidR="00AE3E37" w:rsidRDefault="00A9710C" w:rsidP="00E2405F">
      <w:pPr>
        <w:pStyle w:val="Corpsdetexte"/>
        <w:spacing w:before="90" w:line="280" w:lineRule="auto"/>
        <w:ind w:left="100"/>
        <w:jc w:val="both"/>
      </w:pPr>
      <w:r w:rsidRPr="00E2405F">
        <w:rPr>
          <w:b/>
          <w:bCs/>
        </w:rPr>
        <w:t>Statement of the Problem</w:t>
      </w:r>
      <w:r>
        <w:t xml:space="preserve">: </w:t>
      </w:r>
      <w:r w:rsidR="00E2405F" w:rsidRPr="00E2405F">
        <w:t>Idiopathic overactive bladder</w:t>
      </w:r>
      <w:r w:rsidR="00E2405F">
        <w:t xml:space="preserve"> (OAB)</w:t>
      </w:r>
      <w:r w:rsidR="00E2405F" w:rsidRPr="00E2405F">
        <w:t xml:space="preserve"> is considered a true social disability</w:t>
      </w:r>
      <w:r w:rsidR="00675F3B">
        <w:t xml:space="preserve"> [1]</w:t>
      </w:r>
      <w:r w:rsidR="00E2405F" w:rsidRPr="00E2405F">
        <w:t>. Its management requires the evaluation of its impact on the quality of life</w:t>
      </w:r>
      <w:r w:rsidR="00675F3B">
        <w:t xml:space="preserve"> [2]</w:t>
      </w:r>
      <w:r w:rsidR="00E2405F" w:rsidRPr="00E2405F">
        <w:t>. The Ditrovie scale is a specific instrument, used for this purpose since 1996</w:t>
      </w:r>
      <w:r w:rsidR="00675F3B">
        <w:t xml:space="preserve"> [3-5]</w:t>
      </w:r>
      <w:r w:rsidR="00E2405F" w:rsidRPr="00E2405F">
        <w:t xml:space="preserve">. However, we do not have until now </w:t>
      </w:r>
      <w:r w:rsidR="00E2405F" w:rsidRPr="00E2405F">
        <w:t xml:space="preserve">an </w:t>
      </w:r>
      <w:r w:rsidR="00E2405F" w:rsidRPr="00E2405F">
        <w:t>Arabic version. Our work aimed to translate this scale into Arabic and to verify its validity and reliability in the Tunisian population</w:t>
      </w:r>
      <w:r w:rsidRPr="00E2405F">
        <w:t xml:space="preserve">. </w:t>
      </w:r>
      <w:r w:rsidRPr="00E2405F">
        <w:rPr>
          <w:b/>
          <w:bCs/>
        </w:rPr>
        <w:t>Methodolog</w:t>
      </w:r>
      <w:r w:rsidR="0078738A" w:rsidRPr="00E2405F">
        <w:rPr>
          <w:b/>
          <w:bCs/>
        </w:rPr>
        <w:t>y &amp; Theoretical Orientation</w:t>
      </w:r>
      <w:r w:rsidR="0078738A" w:rsidRPr="00E2405F">
        <w:t xml:space="preserve">: </w:t>
      </w:r>
      <w:r w:rsidR="00E2405F" w:rsidRPr="00E2405F">
        <w:t>The translation-</w:t>
      </w:r>
      <w:r w:rsidR="00E2405F" w:rsidRPr="00E2405F">
        <w:t>back</w:t>
      </w:r>
      <w:r w:rsidR="00E2405F" w:rsidRPr="00E2405F">
        <w:t xml:space="preserve"> translation method was the chosen translation method resulting in three versions. The committee of experts analyzed these versions and elaborated a pre-final version with validation of its appearance and content. A pre-test done on 20 patients allowed to study the acceptability and the feasibility of the scale. The Arabic version obtained was conducted on a sample of 100 patients with idiopathic </w:t>
      </w:r>
      <w:r w:rsidR="00E2405F" w:rsidRPr="00E2405F">
        <w:t>OAB</w:t>
      </w:r>
      <w:r w:rsidR="00E2405F" w:rsidRPr="00E2405F">
        <w:t>. The reliability of the scale was verified by Cronbach's alpha coefficient, intraclass correlation coefficient and Bland and Altman's graph. The validity of the construct was studied by exploratory factor analysis</w:t>
      </w:r>
      <w:r w:rsidRPr="00E2405F">
        <w:t xml:space="preserve">. </w:t>
      </w:r>
      <w:r w:rsidRPr="00E2405F">
        <w:rPr>
          <w:b/>
          <w:bCs/>
        </w:rPr>
        <w:t>Findings</w:t>
      </w:r>
      <w:r w:rsidRPr="00E2405F">
        <w:t xml:space="preserve">: </w:t>
      </w:r>
      <w:r w:rsidR="00E2405F" w:rsidRPr="00E2405F">
        <w:t>The feasibility and acceptability of the scale was good. The Cronbach's alpha for the scale was 0.86. The reproducibility of our scale as well as of each domain was very good (intraclass correlation coefficient &gt; 0.9) with a mean of the differences centered and homogeneous in the Bland and Altman graph. The inter-item correlations quality was good (Kaiser-Meyer-Olkin index equal to 0.856) with a satisfactory mean correlation (r=0.39). The factor analysis identified two significant factors explaining 61% of the total variance. The first factor represents the psyche, the second represents the activity. The Cronbach's alpha coefficient was 0.83 for the first factor and 0.82 for the second factor, affirming a good internal consistency of each of them</w:t>
      </w:r>
      <w:r w:rsidR="00E2405F" w:rsidRPr="00E2405F">
        <w:rPr>
          <w:b/>
          <w:bCs/>
        </w:rPr>
        <w:t>.</w:t>
      </w:r>
      <w:r w:rsidRPr="00E2405F">
        <w:rPr>
          <w:b/>
          <w:bCs/>
        </w:rPr>
        <w:t xml:space="preserve"> Conclusion &amp; Significance</w:t>
      </w:r>
      <w:r w:rsidRPr="00E2405F">
        <w:t xml:space="preserve">: </w:t>
      </w:r>
      <w:r w:rsidR="00E2405F" w:rsidRPr="00E2405F">
        <w:t>Our standard Arabic version of the Ditrovie scale is a reliable instrument with satisfactory psychometric properties that will facilitate the task of the Tunisian and Arabic physician in the management of patients with idiopathic overactive bladder. We propose that other scales be translated and validated in Arabic such as the Qualiveen scale.</w:t>
      </w:r>
      <w:r>
        <w:br w:type="column"/>
      </w:r>
    </w:p>
    <w:p w14:paraId="1C512CBC" w14:textId="68F5DF47" w:rsidR="00AE3E37" w:rsidRDefault="00AE3E37">
      <w:pPr>
        <w:pStyle w:val="Corpsdetexte"/>
        <w:spacing w:before="2"/>
        <w:rPr>
          <w:rFonts w:ascii="Arial"/>
          <w:b/>
          <w:sz w:val="16"/>
        </w:rPr>
      </w:pPr>
    </w:p>
    <w:p w14:paraId="66FCB69B" w14:textId="2A93B779" w:rsidR="005719F4" w:rsidRDefault="005719F4" w:rsidP="005973B9">
      <w:pPr>
        <w:spacing w:line="204" w:lineRule="exact"/>
        <w:rPr>
          <w:rFonts w:ascii="Arial"/>
          <w:b/>
          <w:color w:val="BF5A14"/>
          <w:sz w:val="20"/>
        </w:rPr>
      </w:pPr>
    </w:p>
    <w:p w14:paraId="0D41B2B6" w14:textId="0A6690AA" w:rsidR="005719F4" w:rsidRDefault="00A8748F"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58240" behindDoc="0" locked="0" layoutInCell="1" allowOverlap="1" wp14:anchorId="5DC2BBFA" wp14:editId="471DC9D5">
            <wp:simplePos x="0" y="0"/>
            <wp:positionH relativeFrom="column">
              <wp:posOffset>82604</wp:posOffset>
            </wp:positionH>
            <wp:positionV relativeFrom="paragraph">
              <wp:posOffset>12295</wp:posOffset>
            </wp:positionV>
            <wp:extent cx="3743277" cy="1614792"/>
            <wp:effectExtent l="0" t="0" r="0" b="508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43277" cy="1614792"/>
                    </a:xfrm>
                    <a:prstGeom prst="rect">
                      <a:avLst/>
                    </a:prstGeom>
                    <a:noFill/>
                  </pic:spPr>
                </pic:pic>
              </a:graphicData>
            </a:graphic>
            <wp14:sizeRelH relativeFrom="margin">
              <wp14:pctWidth>0</wp14:pctWidth>
            </wp14:sizeRelH>
            <wp14:sizeRelV relativeFrom="margin">
              <wp14:pctHeight>0</wp14:pctHeight>
            </wp14:sizeRelV>
          </wp:anchor>
        </w:drawing>
      </w:r>
      <w:r w:rsidR="005719F4">
        <w:rPr>
          <w:rFonts w:ascii="Arial"/>
          <w:b/>
          <w:noProof/>
          <w:color w:val="BF5A14"/>
          <w:sz w:val="20"/>
        </w:rPr>
        <w:drawing>
          <wp:inline distT="0" distB="0" distL="0" distR="0" wp14:anchorId="49E13E0B" wp14:editId="7C4F1EA1">
            <wp:extent cx="12479655" cy="5383530"/>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9655" cy="5383530"/>
                    </a:xfrm>
                    <a:prstGeom prst="rect">
                      <a:avLst/>
                    </a:prstGeom>
                    <a:noFill/>
                  </pic:spPr>
                </pic:pic>
              </a:graphicData>
            </a:graphic>
          </wp:inline>
        </w:drawing>
      </w:r>
    </w:p>
    <w:p w14:paraId="30376E48" w14:textId="2D1F3EDD" w:rsidR="005719F4" w:rsidRDefault="005973B9" w:rsidP="005973B9">
      <w:pPr>
        <w:spacing w:line="204" w:lineRule="exact"/>
        <w:rPr>
          <w:rFonts w:ascii="Arial"/>
          <w:b/>
          <w:color w:val="BF5A14"/>
          <w:sz w:val="20"/>
        </w:rPr>
      </w:pPr>
      <w:r>
        <w:rPr>
          <w:rFonts w:ascii="Arial"/>
          <w:b/>
          <w:color w:val="BF5A14"/>
          <w:sz w:val="20"/>
        </w:rPr>
        <w:br/>
      </w:r>
    </w:p>
    <w:p w14:paraId="4C6677F3" w14:textId="74A8FE0D" w:rsidR="005719F4" w:rsidRDefault="005719F4" w:rsidP="005973B9">
      <w:pPr>
        <w:spacing w:line="204" w:lineRule="exact"/>
        <w:rPr>
          <w:rFonts w:ascii="Arial"/>
          <w:b/>
          <w:color w:val="BF5A14"/>
          <w:sz w:val="20"/>
        </w:rPr>
      </w:pPr>
    </w:p>
    <w:p w14:paraId="3809EBD0" w14:textId="13648E9E" w:rsidR="005719F4" w:rsidRDefault="00A8748F" w:rsidP="005973B9">
      <w:pPr>
        <w:spacing w:line="204" w:lineRule="exact"/>
        <w:rPr>
          <w:rFonts w:ascii="Arial"/>
          <w:b/>
          <w:color w:val="BF5A14"/>
          <w:sz w:val="20"/>
        </w:rPr>
      </w:pPr>
      <w:r>
        <w:rPr>
          <w:rFonts w:ascii="Arial"/>
          <w:b/>
          <w:noProof/>
          <w:color w:val="BF5A14"/>
          <w:sz w:val="20"/>
        </w:rPr>
        <w:drawing>
          <wp:inline distT="0" distB="0" distL="0" distR="0" wp14:anchorId="6CE12701" wp14:editId="2D9DA235">
            <wp:extent cx="12479655" cy="5383530"/>
            <wp:effectExtent l="0" t="0" r="0" b="762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79655" cy="5383530"/>
                    </a:xfrm>
                    <a:prstGeom prst="rect">
                      <a:avLst/>
                    </a:prstGeom>
                    <a:noFill/>
                  </pic:spPr>
                </pic:pic>
              </a:graphicData>
            </a:graphic>
          </wp:inline>
        </w:drawing>
      </w:r>
    </w:p>
    <w:p w14:paraId="277FF35B" w14:textId="276838E1" w:rsidR="005719F4" w:rsidRDefault="005719F4" w:rsidP="005973B9">
      <w:pPr>
        <w:spacing w:line="204" w:lineRule="exact"/>
        <w:rPr>
          <w:rFonts w:ascii="Arial"/>
          <w:b/>
          <w:color w:val="BF5A14"/>
          <w:sz w:val="20"/>
        </w:rPr>
      </w:pPr>
    </w:p>
    <w:p w14:paraId="240B5A2B" w14:textId="77777777" w:rsidR="005719F4" w:rsidRDefault="005719F4" w:rsidP="005973B9">
      <w:pPr>
        <w:spacing w:line="204" w:lineRule="exact"/>
        <w:rPr>
          <w:rFonts w:ascii="Arial"/>
          <w:b/>
          <w:color w:val="BF5A14"/>
          <w:sz w:val="20"/>
        </w:rPr>
      </w:pPr>
    </w:p>
    <w:p w14:paraId="1D8B23FF" w14:textId="77777777" w:rsidR="005719F4" w:rsidRDefault="005719F4" w:rsidP="005973B9">
      <w:pPr>
        <w:spacing w:line="204" w:lineRule="exact"/>
        <w:rPr>
          <w:rFonts w:ascii="Arial"/>
          <w:b/>
          <w:color w:val="BF5A14"/>
          <w:sz w:val="20"/>
        </w:rPr>
      </w:pPr>
    </w:p>
    <w:p w14:paraId="1680C342" w14:textId="25471B9C" w:rsidR="005719F4" w:rsidRDefault="005719F4" w:rsidP="005973B9">
      <w:pPr>
        <w:spacing w:line="204" w:lineRule="exact"/>
        <w:rPr>
          <w:rFonts w:ascii="Arial"/>
          <w:b/>
          <w:color w:val="BF5A14"/>
          <w:sz w:val="20"/>
        </w:rPr>
      </w:pPr>
    </w:p>
    <w:p w14:paraId="33FB03BE" w14:textId="4C9A004F" w:rsidR="005719F4" w:rsidRDefault="005719F4" w:rsidP="005973B9">
      <w:pPr>
        <w:spacing w:line="204" w:lineRule="exact"/>
        <w:rPr>
          <w:rFonts w:ascii="Arial"/>
          <w:b/>
          <w:color w:val="BF5A14"/>
          <w:sz w:val="20"/>
        </w:rPr>
      </w:pPr>
    </w:p>
    <w:p w14:paraId="4B0AB76E" w14:textId="752BE3E7" w:rsidR="005719F4" w:rsidRDefault="005719F4" w:rsidP="005973B9">
      <w:pPr>
        <w:spacing w:line="204" w:lineRule="exact"/>
        <w:rPr>
          <w:rFonts w:ascii="Arial"/>
          <w:b/>
          <w:color w:val="BF5A14"/>
          <w:sz w:val="20"/>
        </w:rPr>
      </w:pPr>
    </w:p>
    <w:p w14:paraId="2FD3192B" w14:textId="50795106" w:rsidR="005719F4" w:rsidRDefault="005719F4" w:rsidP="005973B9">
      <w:pPr>
        <w:spacing w:line="204" w:lineRule="exact"/>
        <w:rPr>
          <w:rFonts w:ascii="Arial"/>
          <w:b/>
          <w:color w:val="BF5A14"/>
          <w:sz w:val="20"/>
        </w:rPr>
      </w:pPr>
    </w:p>
    <w:p w14:paraId="59263B2E" w14:textId="2AB9320C" w:rsidR="005719F4" w:rsidRDefault="005719F4" w:rsidP="005973B9">
      <w:pPr>
        <w:spacing w:line="204" w:lineRule="exact"/>
        <w:rPr>
          <w:rFonts w:ascii="Arial"/>
          <w:b/>
          <w:color w:val="BF5A14"/>
          <w:sz w:val="20"/>
        </w:rPr>
      </w:pPr>
    </w:p>
    <w:p w14:paraId="1DC1C423" w14:textId="598737D0" w:rsidR="005719F4" w:rsidRPr="005719F4" w:rsidRDefault="005719F4" w:rsidP="00A8748F">
      <w:pPr>
        <w:spacing w:line="204" w:lineRule="exact"/>
        <w:jc w:val="center"/>
        <w:rPr>
          <w:rFonts w:ascii="Arial"/>
          <w:b/>
          <w:color w:val="BF5A14"/>
          <w:sz w:val="20"/>
          <w:szCs w:val="20"/>
        </w:rPr>
      </w:pPr>
      <w:r>
        <w:rPr>
          <w:b/>
          <w:bCs/>
          <w:i/>
          <w:iCs/>
          <w:sz w:val="20"/>
          <w:szCs w:val="20"/>
        </w:rPr>
        <w:t>Figure 1</w:t>
      </w:r>
      <w:r w:rsidRPr="005719F4">
        <w:rPr>
          <w:sz w:val="20"/>
          <w:szCs w:val="20"/>
        </w:rPr>
        <w:t xml:space="preserve">: </w:t>
      </w:r>
      <w:r w:rsidR="00A8748F">
        <w:rPr>
          <w:sz w:val="20"/>
          <w:szCs w:val="20"/>
        </w:rPr>
        <w:t>Scale Translation and validation Compounds</w:t>
      </w:r>
    </w:p>
    <w:p w14:paraId="0585218A" w14:textId="77777777" w:rsidR="005719F4" w:rsidRDefault="005719F4" w:rsidP="005973B9">
      <w:pPr>
        <w:spacing w:line="204" w:lineRule="exact"/>
        <w:rPr>
          <w:rFonts w:ascii="Arial"/>
          <w:b/>
          <w:color w:val="BF5A14"/>
          <w:sz w:val="20"/>
        </w:rPr>
      </w:pPr>
    </w:p>
    <w:p w14:paraId="293510D8" w14:textId="77777777" w:rsidR="005719F4" w:rsidRDefault="005719F4" w:rsidP="005973B9">
      <w:pPr>
        <w:spacing w:line="204" w:lineRule="exact"/>
        <w:rPr>
          <w:rFonts w:ascii="Arial"/>
          <w:b/>
          <w:color w:val="BF5A14"/>
          <w:sz w:val="20"/>
        </w:rPr>
      </w:pPr>
    </w:p>
    <w:p w14:paraId="26EB2069" w14:textId="77777777" w:rsidR="005719F4" w:rsidRDefault="005719F4" w:rsidP="005973B9">
      <w:pPr>
        <w:spacing w:line="204" w:lineRule="exact"/>
        <w:rPr>
          <w:rFonts w:ascii="Arial"/>
          <w:b/>
          <w:color w:val="BF5A14"/>
          <w:sz w:val="20"/>
        </w:rPr>
      </w:pPr>
    </w:p>
    <w:p w14:paraId="712DEB5B" w14:textId="3F0F4A97" w:rsidR="005973B9" w:rsidRDefault="00675F3B" w:rsidP="005973B9">
      <w:pPr>
        <w:spacing w:line="204" w:lineRule="exact"/>
        <w:rPr>
          <w:rFonts w:ascii="Arial"/>
          <w:b/>
          <w:sz w:val="20"/>
        </w:rPr>
      </w:pPr>
      <w:r>
        <w:rPr>
          <w:rFonts w:ascii="Arial"/>
          <w:b/>
          <w:color w:val="BF5A14"/>
          <w:sz w:val="20"/>
        </w:rPr>
        <w:t>References :</w:t>
      </w:r>
    </w:p>
    <w:p w14:paraId="35D7E65E" w14:textId="0E171474" w:rsidR="00A8748F" w:rsidRPr="00A8748F" w:rsidRDefault="00A8748F" w:rsidP="00A8748F">
      <w:pPr>
        <w:tabs>
          <w:tab w:val="left" w:pos="426"/>
        </w:tabs>
        <w:ind w:right="117"/>
        <w:jc w:val="both"/>
        <w:rPr>
          <w:rFonts w:ascii="Calibri" w:eastAsia="Calibri" w:hAnsi="Calibri" w:cs="Calibri"/>
          <w:bCs/>
          <w:sz w:val="18"/>
        </w:rPr>
      </w:pPr>
      <w:r w:rsidRPr="00A8748F">
        <w:rPr>
          <w:rFonts w:ascii="Calibri" w:eastAsia="Calibri" w:hAnsi="Calibri" w:cs="Calibri"/>
          <w:sz w:val="18"/>
        </w:rPr>
        <w:t xml:space="preserve">1. </w:t>
      </w:r>
      <w:r>
        <w:rPr>
          <w:rFonts w:ascii="Calibri" w:eastAsia="Calibri" w:hAnsi="Calibri" w:cs="Calibri"/>
          <w:sz w:val="18"/>
        </w:rPr>
        <w:t xml:space="preserve">    </w:t>
      </w:r>
      <w:r w:rsidRPr="00A8748F">
        <w:rPr>
          <w:rFonts w:ascii="Calibri" w:eastAsia="Calibri" w:hAnsi="Calibri" w:cs="Calibri"/>
          <w:sz w:val="18"/>
        </w:rPr>
        <w:t>Abrams P, Cardozo L, Fall M, Griffiths D, Rosier P, Ulmsten U et al. The standardisation of terminology of lower urinary tract function: report from the standardisation sub-committee of the International Continence Society. Neurourol Urodyn. 2002;21(2):167-78.</w:t>
      </w:r>
    </w:p>
    <w:p w14:paraId="36AD6DF4" w14:textId="77777777" w:rsidR="00A8748F" w:rsidRPr="00A8748F" w:rsidRDefault="00A8748F" w:rsidP="00A8748F">
      <w:pPr>
        <w:tabs>
          <w:tab w:val="left" w:pos="384"/>
        </w:tabs>
        <w:ind w:right="117"/>
        <w:jc w:val="both"/>
        <w:rPr>
          <w:rFonts w:ascii="Calibri" w:eastAsia="Calibri" w:hAnsi="Calibri" w:cs="Calibri"/>
          <w:sz w:val="18"/>
        </w:rPr>
      </w:pPr>
      <w:r w:rsidRPr="00A8748F">
        <w:rPr>
          <w:rFonts w:ascii="Calibri" w:eastAsia="Calibri" w:hAnsi="Calibri" w:cs="Calibri"/>
          <w:sz w:val="18"/>
        </w:rPr>
        <w:t>2.</w:t>
      </w:r>
      <w:r w:rsidRPr="00A8748F">
        <w:rPr>
          <w:rFonts w:ascii="Calibri" w:eastAsia="Calibri" w:hAnsi="Calibri" w:cs="Calibri"/>
          <w:sz w:val="18"/>
        </w:rPr>
        <w:tab/>
        <w:t>Gormley EA, Lightner DJ, Burgio KL, Chai TC, Clemens JQ, Culkin DJ, et al. Diagnosis and treatment of overactive bladder (non-neurogenic) in adults: AUA/SUFU guideline. J Urol. 2012;188:2455–63.</w:t>
      </w:r>
    </w:p>
    <w:p w14:paraId="7D54EC48" w14:textId="330EEA25" w:rsidR="00A8748F" w:rsidRPr="00A8748F" w:rsidRDefault="00A8748F" w:rsidP="00A8748F">
      <w:pPr>
        <w:tabs>
          <w:tab w:val="left" w:pos="384"/>
        </w:tabs>
        <w:ind w:right="117"/>
        <w:jc w:val="both"/>
        <w:rPr>
          <w:rFonts w:ascii="Calibri" w:eastAsia="Calibri" w:hAnsi="Calibri" w:cs="Calibri"/>
          <w:sz w:val="18"/>
          <w:lang w:val="fr-FR"/>
        </w:rPr>
      </w:pPr>
      <w:r>
        <w:rPr>
          <w:rFonts w:ascii="Calibri" w:eastAsia="Calibri" w:hAnsi="Calibri" w:cs="Calibri"/>
          <w:sz w:val="18"/>
          <w:lang w:val="fr-FR"/>
        </w:rPr>
        <w:t>3</w:t>
      </w:r>
      <w:r w:rsidRPr="00A8748F">
        <w:rPr>
          <w:rFonts w:ascii="Calibri" w:eastAsia="Calibri" w:hAnsi="Calibri" w:cs="Calibri"/>
          <w:sz w:val="18"/>
          <w:lang w:val="fr-FR"/>
        </w:rPr>
        <w:t>.</w:t>
      </w:r>
      <w:r w:rsidRPr="00A8748F">
        <w:rPr>
          <w:rFonts w:ascii="Calibri" w:eastAsia="Calibri" w:hAnsi="Calibri" w:cs="Calibri"/>
          <w:sz w:val="18"/>
          <w:lang w:val="fr-FR"/>
        </w:rPr>
        <w:tab/>
        <w:t>Amarenco G. Quantification de l’incontinence urinaire: scores de symptômes et de qualité de vie. In: Blanc B, Siproudhis L, dir. Pelvi-Périnéologie. Paris: Springer-Verlag; 2005. p. 107–12.</w:t>
      </w:r>
    </w:p>
    <w:p w14:paraId="3DF97640" w14:textId="594D9D12" w:rsidR="00A8748F" w:rsidRPr="00A8748F" w:rsidRDefault="00A8748F" w:rsidP="00A8748F">
      <w:pPr>
        <w:tabs>
          <w:tab w:val="left" w:pos="384"/>
        </w:tabs>
        <w:ind w:right="117"/>
        <w:jc w:val="both"/>
        <w:rPr>
          <w:rFonts w:ascii="Calibri" w:eastAsia="Calibri" w:hAnsi="Calibri" w:cs="Calibri"/>
          <w:sz w:val="18"/>
          <w:lang w:val="fr-FR"/>
        </w:rPr>
      </w:pPr>
      <w:r>
        <w:rPr>
          <w:rFonts w:ascii="Calibri" w:eastAsia="Calibri" w:hAnsi="Calibri" w:cs="Calibri"/>
          <w:sz w:val="18"/>
          <w:lang w:val="fr-FR"/>
        </w:rPr>
        <w:t>4</w:t>
      </w:r>
      <w:r w:rsidRPr="00A8748F">
        <w:rPr>
          <w:rFonts w:ascii="Calibri" w:eastAsia="Calibri" w:hAnsi="Calibri" w:cs="Calibri"/>
          <w:sz w:val="18"/>
          <w:lang w:val="fr-FR"/>
        </w:rPr>
        <w:t>.</w:t>
      </w:r>
      <w:r w:rsidRPr="00A8748F">
        <w:rPr>
          <w:rFonts w:ascii="Calibri" w:eastAsia="Calibri" w:hAnsi="Calibri" w:cs="Calibri"/>
          <w:sz w:val="18"/>
          <w:lang w:val="fr-FR"/>
        </w:rPr>
        <w:tab/>
        <w:t>Amarenco G. Les scores de qualité de vie de l’incontinence urinaire de la femme.  Correspondances en Pelvi-périnéologie. 2001;1(2):22-5.</w:t>
      </w:r>
    </w:p>
    <w:p w14:paraId="263A44E7" w14:textId="4F0E9D21" w:rsidR="00A8748F" w:rsidRPr="00A8748F" w:rsidRDefault="00A8748F" w:rsidP="00A8748F">
      <w:pPr>
        <w:tabs>
          <w:tab w:val="left" w:pos="384"/>
        </w:tabs>
        <w:ind w:right="117"/>
        <w:jc w:val="both"/>
        <w:rPr>
          <w:rFonts w:ascii="Calibri" w:eastAsia="Calibri" w:hAnsi="Calibri" w:cs="Calibri"/>
          <w:sz w:val="18"/>
        </w:rPr>
      </w:pPr>
      <w:r>
        <w:rPr>
          <w:rFonts w:ascii="Calibri" w:eastAsia="Calibri" w:hAnsi="Calibri" w:cs="Calibri"/>
          <w:sz w:val="18"/>
          <w:lang w:val="fr-FR"/>
        </w:rPr>
        <w:t>5</w:t>
      </w:r>
      <w:r w:rsidRPr="00A8748F">
        <w:rPr>
          <w:rFonts w:ascii="Calibri" w:eastAsia="Calibri" w:hAnsi="Calibri" w:cs="Calibri"/>
          <w:sz w:val="18"/>
          <w:lang w:val="fr-FR"/>
        </w:rPr>
        <w:t>.</w:t>
      </w:r>
      <w:r w:rsidRPr="00A8748F">
        <w:rPr>
          <w:rFonts w:ascii="Calibri" w:eastAsia="Calibri" w:hAnsi="Calibri" w:cs="Calibri"/>
          <w:sz w:val="18"/>
          <w:lang w:val="fr-FR"/>
        </w:rPr>
        <w:tab/>
        <w:t xml:space="preserve">Amarenco G, Marquis P, Leriche B, Richard F, Zerbib M, Jacquetin B. Une échelle spécifique d’évaluation de la perturbation de la qualité de vie autours des troubles mictionnels : l’échelle Ditrovie. </w:t>
      </w:r>
      <w:r w:rsidRPr="00A8748F">
        <w:rPr>
          <w:rFonts w:ascii="Calibri" w:eastAsia="Calibri" w:hAnsi="Calibri" w:cs="Calibri"/>
          <w:sz w:val="18"/>
        </w:rPr>
        <w:t>Ann Readapt Med Phys. 1997;40(1):21-6.</w:t>
      </w:r>
    </w:p>
    <w:p w14:paraId="64ED5EC3" w14:textId="77777777" w:rsidR="00AE3E37" w:rsidRPr="008756E6" w:rsidRDefault="00AE3E37" w:rsidP="008756E6">
      <w:pPr>
        <w:tabs>
          <w:tab w:val="left" w:pos="384"/>
        </w:tabs>
        <w:ind w:right="117"/>
      </w:pPr>
    </w:p>
    <w:p w14:paraId="0159412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8250E45" w14:textId="53C2FB72" w:rsidR="00AE3E37" w:rsidRPr="00D62425" w:rsidRDefault="00D62425">
      <w:pPr>
        <w:pStyle w:val="Corpsdetexte"/>
        <w:rPr>
          <w:rFonts w:ascii="Calibri"/>
          <w:b/>
          <w:sz w:val="20"/>
        </w:rPr>
      </w:pPr>
      <w:r>
        <w:rPr>
          <w:rFonts w:ascii="Calibri"/>
          <w:sz w:val="20"/>
        </w:rPr>
        <w:t xml:space="preserve">                 </w:t>
      </w:r>
    </w:p>
    <w:p w14:paraId="20A14124" w14:textId="7A352093" w:rsidR="00AE3E37" w:rsidRDefault="00AE3E37">
      <w:pPr>
        <w:pStyle w:val="Corpsdetexte"/>
        <w:spacing w:line="40" w:lineRule="exact"/>
        <w:ind w:left="2202"/>
        <w:rPr>
          <w:rFonts w:ascii="Calibri"/>
          <w:sz w:val="4"/>
        </w:rPr>
      </w:pPr>
    </w:p>
    <w:p w14:paraId="4E615722" w14:textId="067BBB09" w:rsidR="00AE3E37" w:rsidRPr="00B21A57" w:rsidRDefault="008756E6" w:rsidP="00A8748F">
      <w:pPr>
        <w:spacing w:before="92"/>
        <w:ind w:right="4234"/>
        <w:rPr>
          <w:rFonts w:ascii="Minion Pro"/>
          <w:b/>
          <w:sz w:val="20"/>
        </w:rPr>
      </w:pPr>
      <w:r>
        <w:rPr>
          <w:noProof/>
        </w:rPr>
        <w:t xml:space="preserve">              </w:t>
      </w:r>
    </w:p>
    <w:p w14:paraId="07588A6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AC30741"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C6C7" w14:textId="77777777" w:rsidR="006C1D17" w:rsidRDefault="006C1D17">
      <w:r>
        <w:separator/>
      </w:r>
    </w:p>
  </w:endnote>
  <w:endnote w:type="continuationSeparator" w:id="0">
    <w:p w14:paraId="1E319AAD" w14:textId="77777777" w:rsidR="006C1D17" w:rsidRDefault="006C1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084A"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B68194" wp14:editId="5395EF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2C4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FEF3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6819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6C2C4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FEF3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A080DB1" wp14:editId="620215E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ABBD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1427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80DB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24ABBD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1427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50FB151" wp14:editId="461214D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E96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B423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FB15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C5E96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B423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1F995" w14:textId="77777777" w:rsidR="006C1D17" w:rsidRDefault="006C1D17">
      <w:r>
        <w:separator/>
      </w:r>
    </w:p>
  </w:footnote>
  <w:footnote w:type="continuationSeparator" w:id="0">
    <w:p w14:paraId="7122024F" w14:textId="77777777" w:rsidR="006C1D17" w:rsidRDefault="006C1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25AC"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1AD8C6C" wp14:editId="49F0D50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660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D8C6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EB660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729B740" wp14:editId="5667EB3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E6E5B"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AC763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9B74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50E6E5B"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AC763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94679995">
    <w:abstractNumId w:val="0"/>
  </w:num>
  <w:num w:numId="2" w16cid:durableId="1559976957">
    <w:abstractNumId w:val="1"/>
  </w:num>
  <w:num w:numId="3" w16cid:durableId="167178946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719F4"/>
    <w:rsid w:val="005973B9"/>
    <w:rsid w:val="005B3A56"/>
    <w:rsid w:val="006060CE"/>
    <w:rsid w:val="0063497F"/>
    <w:rsid w:val="00675F3B"/>
    <w:rsid w:val="006C1D17"/>
    <w:rsid w:val="0078738A"/>
    <w:rsid w:val="00873DF0"/>
    <w:rsid w:val="008756E6"/>
    <w:rsid w:val="0089479D"/>
    <w:rsid w:val="009B2D44"/>
    <w:rsid w:val="00A07E82"/>
    <w:rsid w:val="00A8748F"/>
    <w:rsid w:val="00A9710C"/>
    <w:rsid w:val="00AE3E37"/>
    <w:rsid w:val="00B21A57"/>
    <w:rsid w:val="00C33602"/>
    <w:rsid w:val="00CD6F55"/>
    <w:rsid w:val="00D62425"/>
    <w:rsid w:val="00DE3104"/>
    <w:rsid w:val="00E2405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A50D2"/>
  <w15:docId w15:val="{86DA762C-50CE-40B4-BB00-DC0580B2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559</Words>
  <Characters>3079</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kais.benamor</cp:lastModifiedBy>
  <cp:revision>3</cp:revision>
  <dcterms:created xsi:type="dcterms:W3CDTF">2019-09-23T05:08:00Z</dcterms:created>
  <dcterms:modified xsi:type="dcterms:W3CDTF">2023-01-06T17:59:00Z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