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56301" w14:textId="0FD38946" w:rsidR="00895D67" w:rsidRPr="00290DB8" w:rsidRDefault="00290DB8" w:rsidP="00290DB8">
      <w:pPr>
        <w:pStyle w:val="BodyText"/>
        <w:rPr>
          <w:rFonts w:ascii="Times New Roman" w:hAnsi="Times New Roman" w:cs="Times New Roman"/>
          <w:color w:val="0070C0"/>
          <w:sz w:val="20"/>
        </w:rPr>
      </w:pPr>
      <w:r w:rsidRPr="00290DB8">
        <w:rPr>
          <w:color w:val="0070C0"/>
          <w:sz w:val="27"/>
          <w:szCs w:val="27"/>
        </w:rPr>
        <w:t xml:space="preserve">Concordance between </w:t>
      </w:r>
      <w:proofErr w:type="spellStart"/>
      <w:r w:rsidRPr="00290DB8">
        <w:rPr>
          <w:color w:val="0070C0"/>
          <w:sz w:val="27"/>
          <w:szCs w:val="27"/>
        </w:rPr>
        <w:t>biparametric</w:t>
      </w:r>
      <w:proofErr w:type="spellEnd"/>
      <w:r w:rsidRPr="00290DB8">
        <w:rPr>
          <w:color w:val="0070C0"/>
          <w:sz w:val="27"/>
          <w:szCs w:val="27"/>
        </w:rPr>
        <w:t xml:space="preserve"> MRI and radical prostatectomy specimen in the detection of clinically significant prostate cancer and staging.</w:t>
      </w:r>
      <w:r w:rsidR="00895D67" w:rsidRPr="00290DB8">
        <w:rPr>
          <w:rFonts w:ascii="Times New Roman" w:hAnsi="Times New Roman" w:cs="Times New Roman"/>
          <w:color w:val="0070C0"/>
        </w:rPr>
        <w:t xml:space="preserve"> </w:t>
      </w:r>
    </w:p>
    <w:p w14:paraId="6DB285D4" w14:textId="77777777" w:rsidR="00AE3E37" w:rsidRDefault="00AE3E37">
      <w:pPr>
        <w:pStyle w:val="BodyText"/>
        <w:spacing w:before="3"/>
        <w:rPr>
          <w:rFonts w:ascii="Arial"/>
          <w:sz w:val="21"/>
        </w:rPr>
      </w:pPr>
    </w:p>
    <w:p w14:paraId="4B33C9DB" w14:textId="77777777" w:rsidR="00AE3E37" w:rsidRDefault="00290DB8">
      <w:pPr>
        <w:rPr>
          <w:rFonts w:ascii="Times New Roman" w:hAnsi="Times New Roman" w:cs="Times New Roman"/>
          <w:sz w:val="18"/>
          <w:szCs w:val="18"/>
        </w:rPr>
      </w:pPr>
      <w:r w:rsidRPr="00290DB8">
        <w:rPr>
          <w:rFonts w:ascii="Times New Roman" w:hAnsi="Times New Roman" w:cs="Times New Roman"/>
          <w:sz w:val="21"/>
        </w:rPr>
        <w:t xml:space="preserve">Rammah </w:t>
      </w:r>
      <w:r w:rsidRPr="00290DB8">
        <w:rPr>
          <w:rFonts w:ascii="Times New Roman" w:hAnsi="Times New Roman" w:cs="Times New Roman"/>
          <w:sz w:val="18"/>
          <w:szCs w:val="18"/>
        </w:rPr>
        <w:t xml:space="preserve">Abdlbagi , </w:t>
      </w:r>
      <w:proofErr w:type="spellStart"/>
      <w:r w:rsidRPr="00290DB8">
        <w:rPr>
          <w:rFonts w:ascii="Times New Roman" w:hAnsi="Times New Roman" w:cs="Times New Roman"/>
          <w:sz w:val="18"/>
          <w:szCs w:val="18"/>
        </w:rPr>
        <w:t>Egemen</w:t>
      </w:r>
      <w:proofErr w:type="spellEnd"/>
      <w:r w:rsidRPr="00290DB8">
        <w:rPr>
          <w:rFonts w:ascii="Times New Roman" w:hAnsi="Times New Roman" w:cs="Times New Roman"/>
          <w:sz w:val="18"/>
          <w:szCs w:val="18"/>
        </w:rPr>
        <w:t xml:space="preserve"> </w:t>
      </w:r>
      <w:proofErr w:type="spellStart"/>
      <w:r w:rsidRPr="00290DB8">
        <w:rPr>
          <w:rFonts w:ascii="Times New Roman" w:hAnsi="Times New Roman" w:cs="Times New Roman"/>
          <w:sz w:val="18"/>
          <w:szCs w:val="18"/>
        </w:rPr>
        <w:t>Tezcan</w:t>
      </w:r>
      <w:proofErr w:type="spellEnd"/>
      <w:r w:rsidRPr="00290DB8">
        <w:rPr>
          <w:rFonts w:ascii="Times New Roman" w:hAnsi="Times New Roman" w:cs="Times New Roman"/>
          <w:sz w:val="18"/>
          <w:szCs w:val="18"/>
        </w:rPr>
        <w:t xml:space="preserve"> , Kriti </w:t>
      </w:r>
      <w:proofErr w:type="spellStart"/>
      <w:r w:rsidRPr="00290DB8">
        <w:rPr>
          <w:rFonts w:ascii="Times New Roman" w:hAnsi="Times New Roman" w:cs="Times New Roman"/>
          <w:sz w:val="18"/>
          <w:szCs w:val="18"/>
        </w:rPr>
        <w:t>Tripthi</w:t>
      </w:r>
      <w:proofErr w:type="spellEnd"/>
      <w:r w:rsidRPr="00290DB8">
        <w:rPr>
          <w:rFonts w:ascii="Times New Roman" w:hAnsi="Times New Roman" w:cs="Times New Roman"/>
          <w:sz w:val="18"/>
          <w:szCs w:val="18"/>
        </w:rPr>
        <w:t xml:space="preserve"> , </w:t>
      </w:r>
      <w:proofErr w:type="spellStart"/>
      <w:r w:rsidRPr="00290DB8">
        <w:rPr>
          <w:rFonts w:ascii="Times New Roman" w:hAnsi="Times New Roman" w:cs="Times New Roman"/>
          <w:sz w:val="18"/>
          <w:szCs w:val="18"/>
        </w:rPr>
        <w:t>vinayagam</w:t>
      </w:r>
      <w:proofErr w:type="spellEnd"/>
      <w:r w:rsidRPr="00290DB8">
        <w:rPr>
          <w:rFonts w:ascii="Times New Roman" w:hAnsi="Times New Roman" w:cs="Times New Roman"/>
          <w:sz w:val="18"/>
          <w:szCs w:val="18"/>
        </w:rPr>
        <w:t xml:space="preserve"> Sudhakar , Thomas Swallow , Aakash Pai </w:t>
      </w:r>
    </w:p>
    <w:p w14:paraId="74C517B7" w14:textId="4AF1EABC" w:rsidR="00B808C5" w:rsidRPr="00290DB8" w:rsidRDefault="00B808C5">
      <w:pPr>
        <w:rPr>
          <w:rFonts w:ascii="Times New Roman" w:hAnsi="Times New Roman" w:cs="Times New Roman"/>
          <w:sz w:val="18"/>
          <w:szCs w:val="18"/>
        </w:rPr>
        <w:sectPr w:rsidR="00B808C5" w:rsidRPr="00290DB8">
          <w:headerReference w:type="default" r:id="rId7"/>
          <w:footerReference w:type="default" r:id="rId8"/>
          <w:type w:val="continuous"/>
          <w:pgSz w:w="11910" w:h="16840"/>
          <w:pgMar w:top="1740" w:right="600" w:bottom="840" w:left="620" w:header="541" w:footer="642" w:gutter="0"/>
          <w:cols w:space="720"/>
        </w:sectPr>
      </w:pPr>
      <w:r>
        <w:rPr>
          <w:rFonts w:ascii="Times New Roman" w:hAnsi="Times New Roman" w:cs="Times New Roman"/>
          <w:sz w:val="18"/>
          <w:szCs w:val="18"/>
        </w:rPr>
        <w:t xml:space="preserve">Northampton General  hospital UK </w:t>
      </w:r>
    </w:p>
    <w:p w14:paraId="0D38F104" w14:textId="49F6E96A" w:rsidR="00404F86" w:rsidRDefault="00A9710C" w:rsidP="00404F86">
      <w:pPr>
        <w:pStyle w:val="Heading3"/>
        <w:spacing w:before="147"/>
        <w:jc w:val="both"/>
        <w:rPr>
          <w:color w:val="BF5A14"/>
        </w:rPr>
      </w:pPr>
      <w:r>
        <w:rPr>
          <w:color w:val="BF5A14"/>
        </w:rPr>
        <w:t>Abstract</w:t>
      </w:r>
      <w:r w:rsidR="00404E5B">
        <w:rPr>
          <w:color w:val="BF5A14"/>
        </w:rPr>
        <w:t xml:space="preserve"> (300 word limit)</w:t>
      </w:r>
    </w:p>
    <w:p w14:paraId="125B2190" w14:textId="77777777" w:rsidR="00C921A1" w:rsidRPr="00C921A1" w:rsidRDefault="00C921A1" w:rsidP="00C921A1">
      <w:pPr>
        <w:widowControl/>
        <w:spacing w:before="100" w:beforeAutospacing="1" w:after="100" w:afterAutospacing="1"/>
        <w:rPr>
          <w:rFonts w:ascii="Times New Roman" w:eastAsia="Times New Roman" w:hAnsi="Times New Roman" w:cs="Times New Roman"/>
          <w:color w:val="000000"/>
          <w:sz w:val="18"/>
          <w:szCs w:val="18"/>
          <w:lang w:val="en-GB" w:eastAsia="en-GB"/>
        </w:rPr>
      </w:pPr>
      <w:r w:rsidRPr="00C921A1">
        <w:rPr>
          <w:rFonts w:ascii="Times New Roman" w:eastAsia="Times New Roman" w:hAnsi="Times New Roman" w:cs="Times New Roman"/>
          <w:color w:val="000000"/>
          <w:sz w:val="18"/>
          <w:szCs w:val="18"/>
          <w:lang w:val="en-GB" w:eastAsia="en-GB"/>
        </w:rPr>
        <w:t>Introduction and Objectives</w:t>
      </w:r>
    </w:p>
    <w:p w14:paraId="4D235DAA" w14:textId="77777777" w:rsidR="00C921A1" w:rsidRPr="00C921A1" w:rsidRDefault="00C921A1" w:rsidP="00C921A1">
      <w:pPr>
        <w:widowControl/>
        <w:spacing w:before="100" w:beforeAutospacing="1" w:after="100" w:afterAutospacing="1"/>
        <w:rPr>
          <w:rFonts w:ascii="Times New Roman" w:eastAsia="Times New Roman" w:hAnsi="Times New Roman" w:cs="Times New Roman"/>
          <w:color w:val="000000"/>
          <w:sz w:val="18"/>
          <w:szCs w:val="18"/>
          <w:lang w:val="en-GB" w:eastAsia="en-GB"/>
        </w:rPr>
      </w:pPr>
      <w:r w:rsidRPr="00C921A1">
        <w:rPr>
          <w:rFonts w:ascii="Times New Roman" w:eastAsia="Times New Roman" w:hAnsi="Times New Roman" w:cs="Times New Roman"/>
          <w:color w:val="000000"/>
          <w:sz w:val="18"/>
          <w:szCs w:val="18"/>
          <w:lang w:val="en-GB" w:eastAsia="en-GB"/>
        </w:rPr>
        <w:t xml:space="preserve">MRI has an increasing role in the diagnosis and staging of prostate cancer. Multiparametric MRI includes multiple sequences including T2 weighting, diffusion weighting and dynamic contrast enhancement (DCE). Administration of DCE is expensive, time consuming and requires medical supervision due to the risk of anaphylaxis. </w:t>
      </w:r>
      <w:proofErr w:type="spellStart"/>
      <w:r w:rsidRPr="00C921A1">
        <w:rPr>
          <w:rFonts w:ascii="Times New Roman" w:eastAsia="Times New Roman" w:hAnsi="Times New Roman" w:cs="Times New Roman"/>
          <w:color w:val="000000"/>
          <w:sz w:val="18"/>
          <w:szCs w:val="18"/>
          <w:lang w:val="en-GB" w:eastAsia="en-GB"/>
        </w:rPr>
        <w:t>Biparametric</w:t>
      </w:r>
      <w:proofErr w:type="spellEnd"/>
      <w:r w:rsidRPr="00C921A1">
        <w:rPr>
          <w:rFonts w:ascii="Times New Roman" w:eastAsia="Times New Roman" w:hAnsi="Times New Roman" w:cs="Times New Roman"/>
          <w:color w:val="000000"/>
          <w:sz w:val="18"/>
          <w:szCs w:val="18"/>
          <w:lang w:val="en-GB" w:eastAsia="en-GB"/>
        </w:rPr>
        <w:t xml:space="preserve"> MRI (</w:t>
      </w:r>
      <w:proofErr w:type="spellStart"/>
      <w:r w:rsidRPr="00C921A1">
        <w:rPr>
          <w:rFonts w:ascii="Times New Roman" w:eastAsia="Times New Roman" w:hAnsi="Times New Roman" w:cs="Times New Roman"/>
          <w:color w:val="000000"/>
          <w:sz w:val="18"/>
          <w:szCs w:val="18"/>
          <w:lang w:val="en-GB" w:eastAsia="en-GB"/>
        </w:rPr>
        <w:t>bpMRI</w:t>
      </w:r>
      <w:proofErr w:type="spellEnd"/>
      <w:r w:rsidRPr="00C921A1">
        <w:rPr>
          <w:rFonts w:ascii="Times New Roman" w:eastAsia="Times New Roman" w:hAnsi="Times New Roman" w:cs="Times New Roman"/>
          <w:color w:val="000000"/>
          <w:sz w:val="18"/>
          <w:szCs w:val="18"/>
          <w:lang w:val="en-GB" w:eastAsia="en-GB"/>
        </w:rPr>
        <w:t xml:space="preserve">), without DCE, overcomes many of these issues, however there is conflicting data on its accuracy. Furthermore, data on the concordance between </w:t>
      </w:r>
      <w:proofErr w:type="spellStart"/>
      <w:r w:rsidRPr="00C921A1">
        <w:rPr>
          <w:rFonts w:ascii="Times New Roman" w:eastAsia="Times New Roman" w:hAnsi="Times New Roman" w:cs="Times New Roman"/>
          <w:color w:val="000000"/>
          <w:sz w:val="18"/>
          <w:szCs w:val="18"/>
          <w:lang w:val="en-GB" w:eastAsia="en-GB"/>
        </w:rPr>
        <w:t>bpMRI</w:t>
      </w:r>
      <w:proofErr w:type="spellEnd"/>
      <w:r w:rsidRPr="00C921A1">
        <w:rPr>
          <w:rFonts w:ascii="Times New Roman" w:eastAsia="Times New Roman" w:hAnsi="Times New Roman" w:cs="Times New Roman"/>
          <w:color w:val="000000"/>
          <w:sz w:val="18"/>
          <w:szCs w:val="18"/>
          <w:lang w:val="en-GB" w:eastAsia="en-GB"/>
        </w:rPr>
        <w:t xml:space="preserve"> lesion and pathology specimen, as well as the rates of cancer stage upgrading after surgery is limited within the available literature.</w:t>
      </w:r>
    </w:p>
    <w:p w14:paraId="60CD201E" w14:textId="77777777" w:rsidR="00C921A1" w:rsidRPr="00C921A1" w:rsidRDefault="00C921A1" w:rsidP="00C921A1">
      <w:pPr>
        <w:widowControl/>
        <w:spacing w:before="100" w:beforeAutospacing="1" w:after="100" w:afterAutospacing="1"/>
        <w:rPr>
          <w:rFonts w:ascii="Times New Roman" w:eastAsia="Times New Roman" w:hAnsi="Times New Roman" w:cs="Times New Roman"/>
          <w:color w:val="000000"/>
          <w:sz w:val="18"/>
          <w:szCs w:val="18"/>
          <w:lang w:val="en-GB" w:eastAsia="en-GB"/>
        </w:rPr>
      </w:pPr>
      <w:r w:rsidRPr="00C921A1">
        <w:rPr>
          <w:rFonts w:ascii="Times New Roman" w:eastAsia="Times New Roman" w:hAnsi="Times New Roman" w:cs="Times New Roman"/>
          <w:color w:val="000000"/>
          <w:sz w:val="18"/>
          <w:szCs w:val="18"/>
          <w:lang w:val="en-GB" w:eastAsia="en-GB"/>
        </w:rPr>
        <w:t xml:space="preserve">This study aims to examine the diagnostic test accuracy of </w:t>
      </w:r>
      <w:proofErr w:type="spellStart"/>
      <w:r w:rsidRPr="00C921A1">
        <w:rPr>
          <w:rFonts w:ascii="Times New Roman" w:eastAsia="Times New Roman" w:hAnsi="Times New Roman" w:cs="Times New Roman"/>
          <w:color w:val="000000"/>
          <w:sz w:val="18"/>
          <w:szCs w:val="18"/>
          <w:lang w:val="en-GB" w:eastAsia="en-GB"/>
        </w:rPr>
        <w:t>bpMRI</w:t>
      </w:r>
      <w:proofErr w:type="spellEnd"/>
      <w:r w:rsidRPr="00C921A1">
        <w:rPr>
          <w:rFonts w:ascii="Times New Roman" w:eastAsia="Times New Roman" w:hAnsi="Times New Roman" w:cs="Times New Roman"/>
          <w:color w:val="000000"/>
          <w:sz w:val="18"/>
          <w:szCs w:val="18"/>
          <w:lang w:val="en-GB" w:eastAsia="en-GB"/>
        </w:rPr>
        <w:t xml:space="preserve"> in the diagnosis of prostate cancer and radiological assessment of prostate cancer staging. Specifically, we aimed to evaluate the ability of </w:t>
      </w:r>
      <w:proofErr w:type="spellStart"/>
      <w:r w:rsidRPr="00C921A1">
        <w:rPr>
          <w:rFonts w:ascii="Times New Roman" w:eastAsia="Times New Roman" w:hAnsi="Times New Roman" w:cs="Times New Roman"/>
          <w:color w:val="000000"/>
          <w:sz w:val="18"/>
          <w:szCs w:val="18"/>
          <w:lang w:val="en-GB" w:eastAsia="en-GB"/>
        </w:rPr>
        <w:t>bpMRI</w:t>
      </w:r>
      <w:proofErr w:type="spellEnd"/>
      <w:r w:rsidRPr="00C921A1">
        <w:rPr>
          <w:rFonts w:ascii="Times New Roman" w:eastAsia="Times New Roman" w:hAnsi="Times New Roman" w:cs="Times New Roman"/>
          <w:color w:val="000000"/>
          <w:sz w:val="18"/>
          <w:szCs w:val="18"/>
          <w:lang w:val="en-GB" w:eastAsia="en-GB"/>
        </w:rPr>
        <w:t xml:space="preserve"> to accurately localise malignant lesions to better understand its accuracy and application in MRI-targeted biopsies.</w:t>
      </w:r>
    </w:p>
    <w:p w14:paraId="3856052D" w14:textId="77777777" w:rsidR="00C921A1" w:rsidRPr="00C921A1" w:rsidRDefault="00C921A1" w:rsidP="00C921A1">
      <w:pPr>
        <w:widowControl/>
        <w:spacing w:before="100" w:beforeAutospacing="1" w:after="100" w:afterAutospacing="1"/>
        <w:rPr>
          <w:rFonts w:ascii="Times New Roman" w:eastAsia="Times New Roman" w:hAnsi="Times New Roman" w:cs="Times New Roman"/>
          <w:color w:val="000000"/>
          <w:sz w:val="18"/>
          <w:szCs w:val="18"/>
          <w:lang w:val="en-GB" w:eastAsia="en-GB"/>
        </w:rPr>
      </w:pPr>
      <w:r w:rsidRPr="00C921A1">
        <w:rPr>
          <w:rFonts w:ascii="Times New Roman" w:eastAsia="Times New Roman" w:hAnsi="Times New Roman" w:cs="Times New Roman"/>
          <w:color w:val="000000"/>
          <w:sz w:val="18"/>
          <w:szCs w:val="18"/>
          <w:lang w:val="en-GB" w:eastAsia="en-GB"/>
        </w:rPr>
        <w:t>Materials and Methods</w:t>
      </w:r>
    </w:p>
    <w:p w14:paraId="571166DD" w14:textId="77777777" w:rsidR="00C921A1" w:rsidRPr="00C921A1" w:rsidRDefault="00C921A1" w:rsidP="00C921A1">
      <w:pPr>
        <w:widowControl/>
        <w:spacing w:before="100" w:beforeAutospacing="1" w:after="100" w:afterAutospacing="1"/>
        <w:rPr>
          <w:rFonts w:ascii="Times New Roman" w:eastAsia="Times New Roman" w:hAnsi="Times New Roman" w:cs="Times New Roman"/>
          <w:color w:val="000000"/>
          <w:sz w:val="18"/>
          <w:szCs w:val="18"/>
          <w:lang w:val="en-GB" w:eastAsia="en-GB"/>
        </w:rPr>
      </w:pPr>
      <w:r w:rsidRPr="00C921A1">
        <w:rPr>
          <w:rFonts w:ascii="Times New Roman" w:eastAsia="Times New Roman" w:hAnsi="Times New Roman" w:cs="Times New Roman"/>
          <w:color w:val="000000"/>
          <w:sz w:val="18"/>
          <w:szCs w:val="18"/>
          <w:lang w:val="en-GB" w:eastAsia="en-GB"/>
        </w:rPr>
        <w:t xml:space="preserve">One hundred and forty patients who underwent </w:t>
      </w:r>
      <w:proofErr w:type="spellStart"/>
      <w:r w:rsidRPr="00C921A1">
        <w:rPr>
          <w:rFonts w:ascii="Times New Roman" w:eastAsia="Times New Roman" w:hAnsi="Times New Roman" w:cs="Times New Roman"/>
          <w:color w:val="000000"/>
          <w:sz w:val="18"/>
          <w:szCs w:val="18"/>
          <w:lang w:val="en-GB" w:eastAsia="en-GB"/>
        </w:rPr>
        <w:t>bpMRI</w:t>
      </w:r>
      <w:proofErr w:type="spellEnd"/>
      <w:r w:rsidRPr="00C921A1">
        <w:rPr>
          <w:rFonts w:ascii="Times New Roman" w:eastAsia="Times New Roman" w:hAnsi="Times New Roman" w:cs="Times New Roman"/>
          <w:color w:val="000000"/>
          <w:sz w:val="18"/>
          <w:szCs w:val="18"/>
          <w:lang w:val="en-GB" w:eastAsia="en-GB"/>
        </w:rPr>
        <w:t xml:space="preserve"> prior to radical prostatectomy (RP) were retrospectively reviewed from a single institution. Histological grade from prostate biopsy was compared with surgical specimens from RP. Clinically significant prostate cancer (</w:t>
      </w:r>
      <w:proofErr w:type="spellStart"/>
      <w:r w:rsidRPr="00C921A1">
        <w:rPr>
          <w:rFonts w:ascii="Times New Roman" w:eastAsia="Times New Roman" w:hAnsi="Times New Roman" w:cs="Times New Roman"/>
          <w:color w:val="000000"/>
          <w:sz w:val="18"/>
          <w:szCs w:val="18"/>
          <w:lang w:val="en-GB" w:eastAsia="en-GB"/>
        </w:rPr>
        <w:t>csPCa</w:t>
      </w:r>
      <w:proofErr w:type="spellEnd"/>
      <w:r w:rsidRPr="00C921A1">
        <w:rPr>
          <w:rFonts w:ascii="Times New Roman" w:eastAsia="Times New Roman" w:hAnsi="Times New Roman" w:cs="Times New Roman"/>
          <w:color w:val="000000"/>
          <w:sz w:val="18"/>
          <w:szCs w:val="18"/>
          <w:lang w:val="en-GB" w:eastAsia="en-GB"/>
        </w:rPr>
        <w:t xml:space="preserve">) was defined as Gleason grade group ≥2. </w:t>
      </w:r>
      <w:proofErr w:type="spellStart"/>
      <w:r w:rsidRPr="00C921A1">
        <w:rPr>
          <w:rFonts w:ascii="Times New Roman" w:eastAsia="Times New Roman" w:hAnsi="Times New Roman" w:cs="Times New Roman"/>
          <w:color w:val="000000"/>
          <w:sz w:val="18"/>
          <w:szCs w:val="18"/>
          <w:lang w:val="en-GB" w:eastAsia="en-GB"/>
        </w:rPr>
        <w:t>bpMRI</w:t>
      </w:r>
      <w:proofErr w:type="spellEnd"/>
      <w:r w:rsidRPr="00C921A1">
        <w:rPr>
          <w:rFonts w:ascii="Times New Roman" w:eastAsia="Times New Roman" w:hAnsi="Times New Roman" w:cs="Times New Roman"/>
          <w:color w:val="000000"/>
          <w:sz w:val="18"/>
          <w:szCs w:val="18"/>
          <w:lang w:val="en-GB" w:eastAsia="en-GB"/>
        </w:rPr>
        <w:t xml:space="preserve"> staging was compared with RP histology.</w:t>
      </w:r>
    </w:p>
    <w:p w14:paraId="51A40C1E" w14:textId="77777777" w:rsidR="00C921A1" w:rsidRPr="00C921A1" w:rsidRDefault="00C921A1" w:rsidP="00C921A1">
      <w:pPr>
        <w:widowControl/>
        <w:spacing w:before="100" w:beforeAutospacing="1" w:after="100" w:afterAutospacing="1"/>
        <w:rPr>
          <w:rFonts w:ascii="Times New Roman" w:eastAsia="Times New Roman" w:hAnsi="Times New Roman" w:cs="Times New Roman"/>
          <w:color w:val="000000"/>
          <w:sz w:val="18"/>
          <w:szCs w:val="18"/>
          <w:lang w:val="en-GB" w:eastAsia="en-GB"/>
        </w:rPr>
      </w:pPr>
      <w:r w:rsidRPr="00C921A1">
        <w:rPr>
          <w:rFonts w:ascii="Times New Roman" w:eastAsia="Times New Roman" w:hAnsi="Times New Roman" w:cs="Times New Roman"/>
          <w:color w:val="000000"/>
          <w:sz w:val="18"/>
          <w:szCs w:val="18"/>
          <w:lang w:val="en-GB" w:eastAsia="en-GB"/>
        </w:rPr>
        <w:t>Results</w:t>
      </w:r>
    </w:p>
    <w:p w14:paraId="1D71C0F4" w14:textId="77777777" w:rsidR="00C921A1" w:rsidRPr="00C921A1" w:rsidRDefault="00C921A1" w:rsidP="00C921A1">
      <w:pPr>
        <w:widowControl/>
        <w:spacing w:before="100" w:beforeAutospacing="1" w:after="100" w:afterAutospacing="1"/>
        <w:rPr>
          <w:rFonts w:ascii="Times New Roman" w:eastAsia="Times New Roman" w:hAnsi="Times New Roman" w:cs="Times New Roman"/>
          <w:color w:val="000000"/>
          <w:sz w:val="18"/>
          <w:szCs w:val="18"/>
          <w:lang w:val="en-GB" w:eastAsia="en-GB"/>
        </w:rPr>
      </w:pPr>
      <w:r w:rsidRPr="00C921A1">
        <w:rPr>
          <w:rFonts w:ascii="Times New Roman" w:eastAsia="Times New Roman" w:hAnsi="Times New Roman" w:cs="Times New Roman"/>
          <w:color w:val="000000"/>
          <w:sz w:val="18"/>
          <w:szCs w:val="18"/>
          <w:lang w:val="en-GB" w:eastAsia="en-GB"/>
        </w:rPr>
        <w:t xml:space="preserve">Overall sensitivity of </w:t>
      </w:r>
      <w:proofErr w:type="spellStart"/>
      <w:r w:rsidRPr="00C921A1">
        <w:rPr>
          <w:rFonts w:ascii="Times New Roman" w:eastAsia="Times New Roman" w:hAnsi="Times New Roman" w:cs="Times New Roman"/>
          <w:color w:val="000000"/>
          <w:sz w:val="18"/>
          <w:szCs w:val="18"/>
          <w:lang w:val="en-GB" w:eastAsia="en-GB"/>
        </w:rPr>
        <w:t>bpMRI</w:t>
      </w:r>
      <w:proofErr w:type="spellEnd"/>
      <w:r w:rsidRPr="00C921A1">
        <w:rPr>
          <w:rFonts w:ascii="Times New Roman" w:eastAsia="Times New Roman" w:hAnsi="Times New Roman" w:cs="Times New Roman"/>
          <w:color w:val="000000"/>
          <w:sz w:val="18"/>
          <w:szCs w:val="18"/>
          <w:lang w:val="en-GB" w:eastAsia="en-GB"/>
        </w:rPr>
        <w:t xml:space="preserve"> in diagnosing </w:t>
      </w:r>
      <w:proofErr w:type="spellStart"/>
      <w:r w:rsidRPr="00C921A1">
        <w:rPr>
          <w:rFonts w:ascii="Times New Roman" w:eastAsia="Times New Roman" w:hAnsi="Times New Roman" w:cs="Times New Roman"/>
          <w:color w:val="000000"/>
          <w:sz w:val="18"/>
          <w:szCs w:val="18"/>
          <w:lang w:val="en-GB" w:eastAsia="en-GB"/>
        </w:rPr>
        <w:t>csPCa</w:t>
      </w:r>
      <w:proofErr w:type="spellEnd"/>
      <w:r w:rsidRPr="00C921A1">
        <w:rPr>
          <w:rFonts w:ascii="Times New Roman" w:eastAsia="Times New Roman" w:hAnsi="Times New Roman" w:cs="Times New Roman"/>
          <w:color w:val="000000"/>
          <w:sz w:val="18"/>
          <w:szCs w:val="18"/>
          <w:lang w:val="en-GB" w:eastAsia="en-GB"/>
        </w:rPr>
        <w:t xml:space="preserve"> independent of location and staging was 98.87%. Of the 140 patients, 29 (20.71%) had their prostate biopsy histology upgraded at RP. 61 (43.57%) patients had </w:t>
      </w:r>
      <w:proofErr w:type="spellStart"/>
      <w:r w:rsidRPr="00C921A1">
        <w:rPr>
          <w:rFonts w:ascii="Times New Roman" w:eastAsia="Times New Roman" w:hAnsi="Times New Roman" w:cs="Times New Roman"/>
          <w:color w:val="000000"/>
          <w:sz w:val="18"/>
          <w:szCs w:val="18"/>
          <w:lang w:val="en-GB" w:eastAsia="en-GB"/>
        </w:rPr>
        <w:t>csPca</w:t>
      </w:r>
      <w:proofErr w:type="spellEnd"/>
      <w:r w:rsidRPr="00C921A1">
        <w:rPr>
          <w:rFonts w:ascii="Times New Roman" w:eastAsia="Times New Roman" w:hAnsi="Times New Roman" w:cs="Times New Roman"/>
          <w:color w:val="000000"/>
          <w:sz w:val="18"/>
          <w:szCs w:val="18"/>
          <w:lang w:val="en-GB" w:eastAsia="en-GB"/>
        </w:rPr>
        <w:t xml:space="preserve"> noted on RP specimen in areas that were not identified on the </w:t>
      </w:r>
      <w:proofErr w:type="spellStart"/>
      <w:r w:rsidRPr="00C921A1">
        <w:rPr>
          <w:rFonts w:ascii="Times New Roman" w:eastAsia="Times New Roman" w:hAnsi="Times New Roman" w:cs="Times New Roman"/>
          <w:color w:val="000000"/>
          <w:sz w:val="18"/>
          <w:szCs w:val="18"/>
          <w:lang w:val="en-GB" w:eastAsia="en-GB"/>
        </w:rPr>
        <w:t>bpMRI</w:t>
      </w:r>
      <w:proofErr w:type="spellEnd"/>
      <w:r w:rsidRPr="00C921A1">
        <w:rPr>
          <w:rFonts w:ascii="Times New Roman" w:eastAsia="Times New Roman" w:hAnsi="Times New Roman" w:cs="Times New Roman"/>
          <w:color w:val="000000"/>
          <w:sz w:val="18"/>
          <w:szCs w:val="18"/>
          <w:lang w:val="en-GB" w:eastAsia="en-GB"/>
        </w:rPr>
        <w:t xml:space="preserve">. 55 (39.29%) had upstaging after RP from the original staging with </w:t>
      </w:r>
      <w:proofErr w:type="spellStart"/>
      <w:r w:rsidRPr="00C921A1">
        <w:rPr>
          <w:rFonts w:ascii="Times New Roman" w:eastAsia="Times New Roman" w:hAnsi="Times New Roman" w:cs="Times New Roman"/>
          <w:color w:val="000000"/>
          <w:sz w:val="18"/>
          <w:szCs w:val="18"/>
          <w:lang w:val="en-GB" w:eastAsia="en-GB"/>
        </w:rPr>
        <w:t>bpMRI</w:t>
      </w:r>
      <w:proofErr w:type="spellEnd"/>
      <w:r w:rsidRPr="00C921A1">
        <w:rPr>
          <w:rFonts w:ascii="Times New Roman" w:eastAsia="Times New Roman" w:hAnsi="Times New Roman" w:cs="Times New Roman"/>
          <w:color w:val="000000"/>
          <w:sz w:val="18"/>
          <w:szCs w:val="18"/>
          <w:lang w:val="en-GB" w:eastAsia="en-GB"/>
        </w:rPr>
        <w:t>.</w:t>
      </w:r>
    </w:p>
    <w:p w14:paraId="30041341" w14:textId="77777777" w:rsidR="00C921A1" w:rsidRPr="00C921A1" w:rsidRDefault="00C921A1" w:rsidP="00C921A1">
      <w:pPr>
        <w:widowControl/>
        <w:spacing w:before="100" w:beforeAutospacing="1" w:after="100" w:afterAutospacing="1"/>
        <w:rPr>
          <w:rFonts w:ascii="Times New Roman" w:eastAsia="Times New Roman" w:hAnsi="Times New Roman" w:cs="Times New Roman"/>
          <w:color w:val="000000"/>
          <w:sz w:val="18"/>
          <w:szCs w:val="18"/>
          <w:lang w:val="en-GB" w:eastAsia="en-GB"/>
        </w:rPr>
      </w:pPr>
      <w:r w:rsidRPr="00C921A1">
        <w:rPr>
          <w:rFonts w:ascii="Times New Roman" w:eastAsia="Times New Roman" w:hAnsi="Times New Roman" w:cs="Times New Roman"/>
          <w:color w:val="000000"/>
          <w:sz w:val="18"/>
          <w:szCs w:val="18"/>
          <w:lang w:val="en-GB" w:eastAsia="en-GB"/>
        </w:rPr>
        <w:t>Conclusions</w:t>
      </w:r>
    </w:p>
    <w:p w14:paraId="27636A73" w14:textId="77777777" w:rsidR="00C921A1" w:rsidRPr="00C921A1" w:rsidRDefault="00C921A1" w:rsidP="00C921A1">
      <w:pPr>
        <w:widowControl/>
        <w:spacing w:before="100" w:beforeAutospacing="1" w:after="100" w:afterAutospacing="1"/>
        <w:rPr>
          <w:rFonts w:ascii="Times New Roman" w:eastAsia="Times New Roman" w:hAnsi="Times New Roman" w:cs="Times New Roman"/>
          <w:color w:val="000000"/>
          <w:sz w:val="18"/>
          <w:szCs w:val="18"/>
          <w:lang w:val="en-GB" w:eastAsia="en-GB"/>
        </w:rPr>
      </w:pPr>
      <w:r w:rsidRPr="00C921A1">
        <w:rPr>
          <w:rFonts w:ascii="Times New Roman" w:eastAsia="Times New Roman" w:hAnsi="Times New Roman" w:cs="Times New Roman"/>
          <w:color w:val="000000"/>
          <w:sz w:val="18"/>
          <w:szCs w:val="18"/>
          <w:lang w:val="en-GB" w:eastAsia="en-GB"/>
        </w:rPr>
        <w:t xml:space="preserve">Whilst the overall sensitivity of </w:t>
      </w:r>
      <w:proofErr w:type="spellStart"/>
      <w:r w:rsidRPr="00C921A1">
        <w:rPr>
          <w:rFonts w:ascii="Times New Roman" w:eastAsia="Times New Roman" w:hAnsi="Times New Roman" w:cs="Times New Roman"/>
          <w:color w:val="000000"/>
          <w:sz w:val="18"/>
          <w:szCs w:val="18"/>
          <w:lang w:val="en-GB" w:eastAsia="en-GB"/>
        </w:rPr>
        <w:t>bpMRI</w:t>
      </w:r>
      <w:proofErr w:type="spellEnd"/>
      <w:r w:rsidRPr="00C921A1">
        <w:rPr>
          <w:rFonts w:ascii="Times New Roman" w:eastAsia="Times New Roman" w:hAnsi="Times New Roman" w:cs="Times New Roman"/>
          <w:color w:val="000000"/>
          <w:sz w:val="18"/>
          <w:szCs w:val="18"/>
          <w:lang w:val="en-GB" w:eastAsia="en-GB"/>
        </w:rPr>
        <w:t xml:space="preserve"> in predicting any clinically significant cancer was good, there was notably poor concordance in the location of the tumour between </w:t>
      </w:r>
      <w:proofErr w:type="spellStart"/>
      <w:r w:rsidRPr="00C921A1">
        <w:rPr>
          <w:rFonts w:ascii="Times New Roman" w:eastAsia="Times New Roman" w:hAnsi="Times New Roman" w:cs="Times New Roman"/>
          <w:color w:val="000000"/>
          <w:sz w:val="18"/>
          <w:szCs w:val="18"/>
          <w:lang w:val="en-GB" w:eastAsia="en-GB"/>
        </w:rPr>
        <w:t>bpMRI</w:t>
      </w:r>
      <w:proofErr w:type="spellEnd"/>
      <w:r w:rsidRPr="00C921A1">
        <w:rPr>
          <w:rFonts w:ascii="Times New Roman" w:eastAsia="Times New Roman" w:hAnsi="Times New Roman" w:cs="Times New Roman"/>
          <w:color w:val="000000"/>
          <w:sz w:val="18"/>
          <w:szCs w:val="18"/>
          <w:lang w:val="en-GB" w:eastAsia="en-GB"/>
        </w:rPr>
        <w:t xml:space="preserve"> and eventual RP specimen. The results suggest that caution should be exercised when using </w:t>
      </w:r>
      <w:proofErr w:type="spellStart"/>
      <w:r w:rsidRPr="00C921A1">
        <w:rPr>
          <w:rFonts w:ascii="Times New Roman" w:eastAsia="Times New Roman" w:hAnsi="Times New Roman" w:cs="Times New Roman"/>
          <w:color w:val="000000"/>
          <w:sz w:val="18"/>
          <w:szCs w:val="18"/>
          <w:lang w:val="en-GB" w:eastAsia="en-GB"/>
        </w:rPr>
        <w:t>bpMRI</w:t>
      </w:r>
      <w:proofErr w:type="spellEnd"/>
      <w:r w:rsidRPr="00C921A1">
        <w:rPr>
          <w:rFonts w:ascii="Times New Roman" w:eastAsia="Times New Roman" w:hAnsi="Times New Roman" w:cs="Times New Roman"/>
          <w:color w:val="000000"/>
          <w:sz w:val="18"/>
          <w:szCs w:val="18"/>
          <w:lang w:val="en-GB" w:eastAsia="en-GB"/>
        </w:rPr>
        <w:t xml:space="preserve"> for targeted prostate biopsies and validates the continued role of systemic biopsies. Furthermore, a significant number of patients were upstaged at RP from their original staging with </w:t>
      </w:r>
      <w:proofErr w:type="spellStart"/>
      <w:r w:rsidRPr="00C921A1">
        <w:rPr>
          <w:rFonts w:ascii="Times New Roman" w:eastAsia="Times New Roman" w:hAnsi="Times New Roman" w:cs="Times New Roman"/>
          <w:color w:val="000000"/>
          <w:sz w:val="18"/>
          <w:szCs w:val="18"/>
          <w:lang w:val="en-GB" w:eastAsia="en-GB"/>
        </w:rPr>
        <w:t>bpMRI</w:t>
      </w:r>
      <w:proofErr w:type="spellEnd"/>
      <w:r w:rsidRPr="00C921A1">
        <w:rPr>
          <w:rFonts w:ascii="Times New Roman" w:eastAsia="Times New Roman" w:hAnsi="Times New Roman" w:cs="Times New Roman"/>
          <w:color w:val="000000"/>
          <w:sz w:val="18"/>
          <w:szCs w:val="18"/>
          <w:lang w:val="en-GB" w:eastAsia="en-GB"/>
        </w:rPr>
        <w:t xml:space="preserve">. Based on these findings, </w:t>
      </w:r>
      <w:proofErr w:type="spellStart"/>
      <w:r w:rsidRPr="00C921A1">
        <w:rPr>
          <w:rFonts w:ascii="Times New Roman" w:eastAsia="Times New Roman" w:hAnsi="Times New Roman" w:cs="Times New Roman"/>
          <w:color w:val="000000"/>
          <w:sz w:val="18"/>
          <w:szCs w:val="18"/>
          <w:lang w:val="en-GB" w:eastAsia="en-GB"/>
        </w:rPr>
        <w:t>bpMRI</w:t>
      </w:r>
      <w:proofErr w:type="spellEnd"/>
      <w:r w:rsidRPr="00C921A1">
        <w:rPr>
          <w:rFonts w:ascii="Times New Roman" w:eastAsia="Times New Roman" w:hAnsi="Times New Roman" w:cs="Times New Roman"/>
          <w:color w:val="000000"/>
          <w:sz w:val="18"/>
          <w:szCs w:val="18"/>
          <w:lang w:val="en-GB" w:eastAsia="en-GB"/>
        </w:rPr>
        <w:t xml:space="preserve"> results should be interpreted with caution and can underestimate TNM stage, requiring careful consideration of treatment strategy.</w:t>
      </w:r>
    </w:p>
    <w:p w14:paraId="206559A2" w14:textId="77777777" w:rsidR="00C921A1" w:rsidRPr="00404F86" w:rsidRDefault="00C921A1" w:rsidP="00404F86">
      <w:pPr>
        <w:pStyle w:val="Heading3"/>
        <w:spacing w:before="147"/>
        <w:jc w:val="both"/>
        <w:rPr>
          <w:color w:val="BF5A14"/>
        </w:rPr>
      </w:pPr>
    </w:p>
    <w:p w14:paraId="37C9F883" w14:textId="77777777" w:rsidR="00AE3E37" w:rsidRDefault="00A9710C">
      <w:pPr>
        <w:pStyle w:val="Heading3"/>
        <w:spacing w:before="74"/>
      </w:pPr>
      <w:r>
        <w:rPr>
          <w:b w:val="0"/>
        </w:rPr>
        <w:br w:type="column"/>
      </w:r>
      <w:r>
        <w:rPr>
          <w:color w:val="BF5A14"/>
        </w:rPr>
        <w:t>Image</w:t>
      </w:r>
    </w:p>
    <w:tbl>
      <w:tblPr>
        <w:tblStyle w:val="PlainTable1"/>
        <w:tblW w:w="0" w:type="auto"/>
        <w:tblLook w:val="04A0" w:firstRow="1" w:lastRow="0" w:firstColumn="1" w:lastColumn="0" w:noHBand="0" w:noVBand="1"/>
      </w:tblPr>
      <w:tblGrid>
        <w:gridCol w:w="2600"/>
        <w:gridCol w:w="2601"/>
      </w:tblGrid>
      <w:tr w:rsidR="00404F86" w14:paraId="38F7127D" w14:textId="77777777" w:rsidTr="00404F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0" w:type="dxa"/>
          </w:tcPr>
          <w:p w14:paraId="568CBC64" w14:textId="4DBD8119" w:rsidR="00404F86" w:rsidRDefault="00404F86">
            <w:pPr>
              <w:pStyle w:val="BodyText"/>
              <w:spacing w:before="2"/>
              <w:rPr>
                <w:rFonts w:ascii="Arial"/>
                <w:b w:val="0"/>
                <w:sz w:val="16"/>
              </w:rPr>
            </w:pPr>
            <w:r>
              <w:rPr>
                <w:rFonts w:ascii="Arial"/>
                <w:b w:val="0"/>
                <w:sz w:val="16"/>
              </w:rPr>
              <w:t xml:space="preserve">Item </w:t>
            </w:r>
          </w:p>
        </w:tc>
        <w:tc>
          <w:tcPr>
            <w:tcW w:w="2601" w:type="dxa"/>
          </w:tcPr>
          <w:p w14:paraId="70243AF7" w14:textId="7FA1A7E8" w:rsidR="00404F86" w:rsidRDefault="00404F86">
            <w:pPr>
              <w:pStyle w:val="BodyText"/>
              <w:spacing w:before="2"/>
              <w:cnfStyle w:val="100000000000" w:firstRow="1" w:lastRow="0" w:firstColumn="0" w:lastColumn="0" w:oddVBand="0" w:evenVBand="0" w:oddHBand="0" w:evenHBand="0" w:firstRowFirstColumn="0" w:firstRowLastColumn="0" w:lastRowFirstColumn="0" w:lastRowLastColumn="0"/>
              <w:rPr>
                <w:rFonts w:ascii="Arial"/>
                <w:b w:val="0"/>
                <w:sz w:val="16"/>
              </w:rPr>
            </w:pPr>
            <w:r>
              <w:rPr>
                <w:rFonts w:ascii="Arial"/>
                <w:b w:val="0"/>
                <w:sz w:val="16"/>
              </w:rPr>
              <w:t xml:space="preserve">Percentage </w:t>
            </w:r>
          </w:p>
        </w:tc>
      </w:tr>
      <w:tr w:rsidR="00404F86" w14:paraId="1AB061D6" w14:textId="77777777" w:rsidTr="00404F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0" w:type="dxa"/>
          </w:tcPr>
          <w:p w14:paraId="798D0984" w14:textId="798620A1" w:rsidR="00404F86" w:rsidRPr="00404F86" w:rsidRDefault="00C921A1">
            <w:pPr>
              <w:pStyle w:val="BodyText"/>
              <w:spacing w:before="2"/>
              <w:rPr>
                <w:rFonts w:ascii="Times New Roman" w:hAnsi="Times New Roman" w:cs="Times New Roman"/>
                <w:b w:val="0"/>
                <w:sz w:val="16"/>
              </w:rPr>
            </w:pPr>
            <w:proofErr w:type="spellStart"/>
            <w:r>
              <w:rPr>
                <w:rFonts w:ascii="Times New Roman" w:hAnsi="Times New Roman" w:cs="Times New Roman"/>
                <w:b w:val="0"/>
                <w:sz w:val="16"/>
              </w:rPr>
              <w:t>bpMRI</w:t>
            </w:r>
            <w:proofErr w:type="spellEnd"/>
            <w:r>
              <w:rPr>
                <w:rFonts w:ascii="Times New Roman" w:hAnsi="Times New Roman" w:cs="Times New Roman"/>
                <w:b w:val="0"/>
                <w:sz w:val="16"/>
              </w:rPr>
              <w:t xml:space="preserve"> sensitivity </w:t>
            </w:r>
          </w:p>
        </w:tc>
        <w:tc>
          <w:tcPr>
            <w:tcW w:w="2601" w:type="dxa"/>
          </w:tcPr>
          <w:p w14:paraId="32B3116D" w14:textId="5DF1B5C6" w:rsidR="00404F86" w:rsidRPr="00404F86" w:rsidRDefault="00C921A1">
            <w:pPr>
              <w:pStyle w:val="BodyText"/>
              <w:spacing w:before="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6"/>
              </w:rPr>
            </w:pPr>
            <w:r>
              <w:rPr>
                <w:rFonts w:ascii="Times New Roman" w:hAnsi="Times New Roman" w:cs="Times New Roman"/>
                <w:b/>
                <w:sz w:val="16"/>
              </w:rPr>
              <w:t>98%</w:t>
            </w:r>
          </w:p>
        </w:tc>
      </w:tr>
      <w:tr w:rsidR="00404F86" w14:paraId="019D1877" w14:textId="77777777" w:rsidTr="00404F86">
        <w:tc>
          <w:tcPr>
            <w:cnfStyle w:val="001000000000" w:firstRow="0" w:lastRow="0" w:firstColumn="1" w:lastColumn="0" w:oddVBand="0" w:evenVBand="0" w:oddHBand="0" w:evenHBand="0" w:firstRowFirstColumn="0" w:firstRowLastColumn="0" w:lastRowFirstColumn="0" w:lastRowLastColumn="0"/>
            <w:tcW w:w="2600" w:type="dxa"/>
          </w:tcPr>
          <w:p w14:paraId="7BA5FD0B" w14:textId="1407E922" w:rsidR="00404F86" w:rsidRPr="00404F86" w:rsidRDefault="00C921A1">
            <w:pPr>
              <w:pStyle w:val="BodyText"/>
              <w:spacing w:before="2"/>
              <w:rPr>
                <w:rFonts w:ascii="Times New Roman" w:hAnsi="Times New Roman" w:cs="Times New Roman"/>
                <w:b w:val="0"/>
                <w:sz w:val="16"/>
              </w:rPr>
            </w:pPr>
            <w:r>
              <w:rPr>
                <w:rFonts w:ascii="Times New Roman" w:hAnsi="Times New Roman" w:cs="Times New Roman"/>
                <w:b w:val="0"/>
                <w:sz w:val="16"/>
              </w:rPr>
              <w:t xml:space="preserve">Upstaging after prostatectomy </w:t>
            </w:r>
          </w:p>
        </w:tc>
        <w:tc>
          <w:tcPr>
            <w:tcW w:w="2601" w:type="dxa"/>
          </w:tcPr>
          <w:p w14:paraId="29E998F1" w14:textId="04CE99D6" w:rsidR="00404F86" w:rsidRPr="00404F86" w:rsidRDefault="00C921A1">
            <w:pPr>
              <w:pStyle w:val="BodyText"/>
              <w:spacing w:before="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Pr>
                <w:rFonts w:ascii="Times New Roman" w:hAnsi="Times New Roman" w:cs="Times New Roman"/>
                <w:b/>
                <w:sz w:val="16"/>
              </w:rPr>
              <w:t>39.29%</w:t>
            </w:r>
          </w:p>
        </w:tc>
      </w:tr>
    </w:tbl>
    <w:p w14:paraId="5A4F87E3" w14:textId="3094488B" w:rsidR="00AE3E37" w:rsidRDefault="00AE3E37">
      <w:pPr>
        <w:pStyle w:val="BodyText"/>
        <w:spacing w:before="2"/>
        <w:rPr>
          <w:rFonts w:ascii="Arial"/>
          <w:b/>
          <w:sz w:val="16"/>
        </w:rPr>
      </w:pPr>
    </w:p>
    <w:p w14:paraId="381D088D" w14:textId="001D0EC7" w:rsidR="005973B9" w:rsidRDefault="005973B9" w:rsidP="005973B9">
      <w:pPr>
        <w:spacing w:line="204" w:lineRule="exact"/>
        <w:rPr>
          <w:rFonts w:ascii="Arial"/>
          <w:b/>
          <w:sz w:val="20"/>
        </w:rPr>
      </w:pPr>
      <w:r>
        <w:rPr>
          <w:rFonts w:ascii="Arial"/>
          <w:b/>
          <w:color w:val="BF5A14"/>
          <w:sz w:val="20"/>
        </w:rPr>
        <w:br/>
      </w:r>
    </w:p>
    <w:p w14:paraId="4D235FF1" w14:textId="77777777" w:rsidR="00AE3E37" w:rsidRPr="008756E6" w:rsidRDefault="00AE3E37" w:rsidP="008756E6">
      <w:pPr>
        <w:tabs>
          <w:tab w:val="left" w:pos="384"/>
        </w:tabs>
        <w:ind w:right="117"/>
      </w:pPr>
    </w:p>
    <w:p w14:paraId="612477B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F10A4A8"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4C89955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C9CC5B4" wp14:editId="65595C2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4013F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5327841" w14:textId="07944C34" w:rsidR="00AE3E37" w:rsidRDefault="008756E6" w:rsidP="00404E5B">
      <w:pPr>
        <w:spacing w:before="92"/>
        <w:ind w:right="4234"/>
        <w:rPr>
          <w:rFonts w:ascii="Arial"/>
          <w:color w:val="BF5A14"/>
        </w:rPr>
      </w:pPr>
      <w:r>
        <w:rPr>
          <w:noProof/>
        </w:rPr>
        <w:lastRenderedPageBreak/>
        <w:t xml:space="preserve">              </w:t>
      </w:r>
      <w:r>
        <w:rPr>
          <w:noProof/>
          <w:lang w:val="en-IN" w:eastAsia="en-IN"/>
        </w:rPr>
        <w:drawing>
          <wp:inline distT="0" distB="0" distL="0" distR="0" wp14:anchorId="30308B13" wp14:editId="5154220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5F3C1CB0" w14:textId="42788928" w:rsidR="00F1556A" w:rsidRPr="00F1556A" w:rsidRDefault="00F1556A" w:rsidP="00404E5B">
      <w:pPr>
        <w:spacing w:before="92"/>
        <w:ind w:right="4234"/>
        <w:rPr>
          <w:rFonts w:ascii="Times New Roman" w:hAnsi="Times New Roman" w:cs="Times New Roman"/>
          <w:color w:val="000000" w:themeColor="text1"/>
          <w:sz w:val="18"/>
          <w:szCs w:val="18"/>
        </w:rPr>
      </w:pPr>
      <w:r w:rsidRPr="00F1556A">
        <w:rPr>
          <w:rFonts w:ascii="Times New Roman" w:hAnsi="Times New Roman" w:cs="Times New Roman"/>
          <w:color w:val="000000" w:themeColor="text1"/>
          <w:sz w:val="18"/>
          <w:szCs w:val="18"/>
        </w:rPr>
        <w:t xml:space="preserve">Dr Rammah Abdlbagi : a urology junior doctor at Northampton General hospital ( United Kingdom ) . Graduated from Sudan on 22/09/2016 from </w:t>
      </w:r>
      <w:proofErr w:type="spellStart"/>
      <w:r w:rsidRPr="00F1556A">
        <w:rPr>
          <w:rFonts w:ascii="Times New Roman" w:hAnsi="Times New Roman" w:cs="Times New Roman"/>
          <w:color w:val="000000" w:themeColor="text1"/>
          <w:sz w:val="18"/>
          <w:szCs w:val="18"/>
        </w:rPr>
        <w:t>Alzaem</w:t>
      </w:r>
      <w:proofErr w:type="spellEnd"/>
      <w:r w:rsidRPr="00F1556A">
        <w:rPr>
          <w:rFonts w:ascii="Times New Roman" w:hAnsi="Times New Roman" w:cs="Times New Roman"/>
          <w:color w:val="000000" w:themeColor="text1"/>
          <w:sz w:val="18"/>
          <w:szCs w:val="18"/>
        </w:rPr>
        <w:t xml:space="preserve"> </w:t>
      </w:r>
      <w:proofErr w:type="spellStart"/>
      <w:r w:rsidRPr="00F1556A">
        <w:rPr>
          <w:rFonts w:ascii="Times New Roman" w:hAnsi="Times New Roman" w:cs="Times New Roman"/>
          <w:color w:val="000000" w:themeColor="text1"/>
          <w:sz w:val="18"/>
          <w:szCs w:val="18"/>
        </w:rPr>
        <w:t>Alzhari</w:t>
      </w:r>
      <w:proofErr w:type="spellEnd"/>
      <w:r w:rsidRPr="00F1556A">
        <w:rPr>
          <w:rFonts w:ascii="Times New Roman" w:hAnsi="Times New Roman" w:cs="Times New Roman"/>
          <w:color w:val="000000" w:themeColor="text1"/>
          <w:sz w:val="18"/>
          <w:szCs w:val="18"/>
        </w:rPr>
        <w:t xml:space="preserve"> university faculty of </w:t>
      </w:r>
      <w:r w:rsidR="00895D67" w:rsidRPr="00F1556A">
        <w:rPr>
          <w:rFonts w:ascii="Times New Roman" w:hAnsi="Times New Roman" w:cs="Times New Roman"/>
          <w:color w:val="000000" w:themeColor="text1"/>
          <w:sz w:val="18"/>
          <w:szCs w:val="18"/>
        </w:rPr>
        <w:t>medicine.</w:t>
      </w:r>
    </w:p>
    <w:p w14:paraId="11AE1203" w14:textId="4CB215AC" w:rsidR="00F1556A" w:rsidRPr="00F1556A" w:rsidRDefault="00F1556A" w:rsidP="00404E5B">
      <w:pPr>
        <w:spacing w:before="92"/>
        <w:ind w:right="4234"/>
        <w:rPr>
          <w:rFonts w:ascii="Times New Roman" w:hAnsi="Times New Roman" w:cs="Times New Roman"/>
          <w:color w:val="000000" w:themeColor="text1"/>
          <w:sz w:val="18"/>
          <w:szCs w:val="18"/>
        </w:rPr>
      </w:pPr>
      <w:r w:rsidRPr="00F1556A">
        <w:rPr>
          <w:rFonts w:ascii="Times New Roman" w:hAnsi="Times New Roman" w:cs="Times New Roman"/>
          <w:color w:val="000000" w:themeColor="text1"/>
          <w:sz w:val="18"/>
          <w:szCs w:val="18"/>
        </w:rPr>
        <w:t xml:space="preserve">I have completed full Membership of Royal College of surgeon Edinburgh ( </w:t>
      </w:r>
      <w:proofErr w:type="spellStart"/>
      <w:r w:rsidRPr="00F1556A">
        <w:rPr>
          <w:rFonts w:ascii="Times New Roman" w:hAnsi="Times New Roman" w:cs="Times New Roman"/>
          <w:color w:val="000000" w:themeColor="text1"/>
          <w:sz w:val="18"/>
          <w:szCs w:val="18"/>
        </w:rPr>
        <w:t>MRCSed</w:t>
      </w:r>
      <w:proofErr w:type="spellEnd"/>
      <w:r w:rsidRPr="00F1556A">
        <w:rPr>
          <w:rFonts w:ascii="Times New Roman" w:hAnsi="Times New Roman" w:cs="Times New Roman"/>
          <w:color w:val="000000" w:themeColor="text1"/>
          <w:sz w:val="18"/>
          <w:szCs w:val="18"/>
        </w:rPr>
        <w:t xml:space="preserve"> ) on 03/2018 </w:t>
      </w:r>
    </w:p>
    <w:p w14:paraId="7B994AF3" w14:textId="6248CF23" w:rsidR="00AE3E37" w:rsidRDefault="00A9710C">
      <w:pPr>
        <w:spacing w:before="62"/>
        <w:ind w:left="4217" w:right="4235"/>
        <w:jc w:val="center"/>
        <w:rPr>
          <w:rFonts w:ascii="Arial"/>
          <w:sz w:val="14"/>
        </w:rPr>
      </w:pPr>
      <w:r>
        <w:rPr>
          <w:rFonts w:ascii="Arial"/>
          <w:sz w:val="14"/>
        </w:rPr>
        <w:t xml:space="preserve">Email: </w:t>
      </w:r>
      <w:r w:rsidR="00F1556A">
        <w:rPr>
          <w:rFonts w:ascii="Arial"/>
          <w:sz w:val="14"/>
        </w:rPr>
        <w:t>r.abdlbagi@nhs.net</w:t>
      </w:r>
    </w:p>
    <w:p w14:paraId="42DD3673"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3A972DB" wp14:editId="36A8040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D9C97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B7EC274" w14:textId="77777777" w:rsidR="00AE3E37" w:rsidRDefault="00AE3E37">
      <w:pPr>
        <w:pStyle w:val="BodyText"/>
        <w:rPr>
          <w:rFonts w:ascii="Arial"/>
          <w:sz w:val="20"/>
        </w:rPr>
      </w:pPr>
    </w:p>
    <w:p w14:paraId="08F6AC78" w14:textId="77777777" w:rsidR="00AE3E37" w:rsidRDefault="00AE3E37">
      <w:pPr>
        <w:pStyle w:val="BodyText"/>
        <w:rPr>
          <w:rFonts w:ascii="Arial"/>
          <w:sz w:val="20"/>
        </w:rPr>
      </w:pPr>
    </w:p>
    <w:p w14:paraId="7A432047" w14:textId="77777777" w:rsidR="00AE3E37" w:rsidRDefault="00AE3E37">
      <w:pPr>
        <w:pStyle w:val="BodyText"/>
        <w:spacing w:before="7"/>
        <w:rPr>
          <w:rFonts w:ascii="Arial"/>
          <w:sz w:val="29"/>
        </w:rPr>
      </w:pPr>
    </w:p>
    <w:p w14:paraId="7C3A35D5" w14:textId="77777777" w:rsidR="00AE3E37" w:rsidRPr="00B21A57" w:rsidRDefault="00A9710C">
      <w:pPr>
        <w:spacing w:before="39"/>
        <w:ind w:left="100"/>
        <w:rPr>
          <w:rFonts w:ascii="Minion Pro"/>
          <w:b/>
          <w:sz w:val="20"/>
        </w:rPr>
      </w:pPr>
      <w:r w:rsidRPr="00B21A57">
        <w:rPr>
          <w:rFonts w:ascii="Minion Pro"/>
          <w:b/>
          <w:sz w:val="20"/>
        </w:rPr>
        <w:t>Notes/Comments:</w:t>
      </w:r>
    </w:p>
    <w:p w14:paraId="603017E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011C59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60A24" w14:textId="77777777" w:rsidR="00F8136A" w:rsidRDefault="00F8136A">
      <w:r>
        <w:separator/>
      </w:r>
    </w:p>
  </w:endnote>
  <w:endnote w:type="continuationSeparator" w:id="0">
    <w:p w14:paraId="371FB29D"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66B7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752" behindDoc="1" locked="0" layoutInCell="1" allowOverlap="1" wp14:anchorId="70513F74" wp14:editId="77FC38C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48D2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98A95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513F74"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FB48D2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98A95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824" behindDoc="1" locked="0" layoutInCell="1" allowOverlap="1" wp14:anchorId="221A2872" wp14:editId="608E594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D2DE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95E56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A2872" id="Text Box 2" o:spid="_x0000_s1029" type="#_x0000_t202" style="position:absolute;margin-left:252.1pt;margin-top:799.05pt;width:91.9pt;height:24.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44BD2DE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95E56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4896" behindDoc="1" locked="0" layoutInCell="1" allowOverlap="1" wp14:anchorId="5003FE04" wp14:editId="4434B7A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A74A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C8D28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03FE04" id="Text Box 1" o:spid="_x0000_s1030" type="#_x0000_t202" style="position:absolute;margin-left:468.9pt;margin-top:798.8pt;width:91.4pt;height:2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112A74A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C8D28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ED9BA" w14:textId="77777777" w:rsidR="00F8136A" w:rsidRDefault="00F8136A">
      <w:r>
        <w:separator/>
      </w:r>
    </w:p>
  </w:footnote>
  <w:footnote w:type="continuationSeparator" w:id="0">
    <w:p w14:paraId="2616A78D"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6092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2608" behindDoc="1" locked="0" layoutInCell="1" allowOverlap="1" wp14:anchorId="20661354" wp14:editId="0700541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606C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661354"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57606C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680" behindDoc="1" locked="0" layoutInCell="1" allowOverlap="1" wp14:anchorId="32A5956C" wp14:editId="15621F2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98D9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FA3FC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5956C" id="Text Box 4" o:spid="_x0000_s1027" type="#_x0000_t202" style="position:absolute;margin-left:35pt;margin-top:48.3pt;width:515.95pt;height:40.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0398D9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FA3FC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0DB8"/>
    <w:rsid w:val="00292ED9"/>
    <w:rsid w:val="00314AFB"/>
    <w:rsid w:val="003B76D9"/>
    <w:rsid w:val="00404E5B"/>
    <w:rsid w:val="00404F86"/>
    <w:rsid w:val="00414F7B"/>
    <w:rsid w:val="004355DC"/>
    <w:rsid w:val="004749B4"/>
    <w:rsid w:val="00494130"/>
    <w:rsid w:val="004F3523"/>
    <w:rsid w:val="005973B9"/>
    <w:rsid w:val="005B3A56"/>
    <w:rsid w:val="006060CE"/>
    <w:rsid w:val="0063497F"/>
    <w:rsid w:val="0078738A"/>
    <w:rsid w:val="00873DF0"/>
    <w:rsid w:val="008756E6"/>
    <w:rsid w:val="00895D67"/>
    <w:rsid w:val="009B2D44"/>
    <w:rsid w:val="00A07E82"/>
    <w:rsid w:val="00A9710C"/>
    <w:rsid w:val="00AE3E37"/>
    <w:rsid w:val="00B21A57"/>
    <w:rsid w:val="00B808C5"/>
    <w:rsid w:val="00C33602"/>
    <w:rsid w:val="00C921A1"/>
    <w:rsid w:val="00CD6F55"/>
    <w:rsid w:val="00D62425"/>
    <w:rsid w:val="00DE3104"/>
    <w:rsid w:val="00F1556A"/>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4667BDA"/>
  <w15:docId w15:val="{9BB833D0-C260-4426-BC0A-2E9105831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404F86"/>
    <w:pPr>
      <w:widowControl/>
      <w:spacing w:before="100" w:beforeAutospacing="1" w:after="100" w:afterAutospacing="1"/>
    </w:pPr>
    <w:rPr>
      <w:rFonts w:ascii="Times" w:eastAsiaTheme="minorEastAsia" w:hAnsi="Times" w:cs="Times New Roman"/>
      <w:sz w:val="20"/>
      <w:szCs w:val="20"/>
      <w:lang w:val="en-CA"/>
    </w:rPr>
  </w:style>
  <w:style w:type="table" w:styleId="TableGrid">
    <w:name w:val="Table Grid"/>
    <w:basedOn w:val="TableNormal"/>
    <w:uiPriority w:val="59"/>
    <w:unhideWhenUsed/>
    <w:rsid w:val="00404F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404F8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04F8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04F8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04F8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04F8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04F8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8811934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ABDLBAGI, Rammahmohammedali (NORTHAMPTON GENERAL HOSPITAL NHS TRUST)</cp:lastModifiedBy>
  <cp:revision>8</cp:revision>
  <dcterms:created xsi:type="dcterms:W3CDTF">2016-08-31T13:10:00Z</dcterms:created>
  <dcterms:modified xsi:type="dcterms:W3CDTF">2022-09-30T11:11:00Z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