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F1E77E" w14:textId="03573C16" w:rsidR="00521A0C" w:rsidRPr="007151AD" w:rsidRDefault="007151AD" w:rsidP="007151AD">
      <w:pPr>
        <w:pStyle w:val="3"/>
        <w:jc w:val="left"/>
        <w:rPr>
          <w:color w:val="5B9BD5" w:themeColor="accent5"/>
        </w:rPr>
        <w:sectPr w:rsidR="00521A0C" w:rsidRPr="007151AD" w:rsidSect="00521A0C">
          <w:pgSz w:w="11906" w:h="16838"/>
          <w:pgMar w:top="720" w:right="720" w:bottom="720" w:left="720" w:header="851" w:footer="992" w:gutter="0"/>
          <w:cols w:space="425"/>
          <w:docGrid w:type="lines" w:linePitch="312"/>
        </w:sectPr>
      </w:pPr>
      <w:r w:rsidRPr="007151AD">
        <w:rPr>
          <w:color w:val="5B9BD5" w:themeColor="accent5"/>
        </w:rPr>
        <w:t>Circadian rhythm-related</w:t>
      </w:r>
      <w:r w:rsidR="00784123" w:rsidRPr="007151AD">
        <w:rPr>
          <w:color w:val="5B9BD5" w:themeColor="accent5"/>
        </w:rPr>
        <w:t xml:space="preserve"> </w:t>
      </w:r>
      <w:r w:rsidR="00784123" w:rsidRPr="007151AD">
        <w:rPr>
          <w:i/>
          <w:iCs/>
          <w:color w:val="5B9BD5" w:themeColor="accent5"/>
        </w:rPr>
        <w:t>miR-6883-5p</w:t>
      </w:r>
      <w:r w:rsidR="00784123" w:rsidRPr="007151AD">
        <w:rPr>
          <w:color w:val="5B9BD5" w:themeColor="accent5"/>
        </w:rPr>
        <w:t xml:space="preserve"> suppresses enzalutamide-resistant prostate cancer proliferation</w:t>
      </w:r>
      <w:r w:rsidRPr="007151AD">
        <w:rPr>
          <w:color w:val="5B9BD5" w:themeColor="accent5"/>
        </w:rPr>
        <w:t xml:space="preserve"> </w:t>
      </w:r>
      <w:r w:rsidRPr="007151AD">
        <w:rPr>
          <w:rFonts w:hint="eastAsia"/>
          <w:color w:val="5B9BD5" w:themeColor="accent5"/>
        </w:rPr>
        <w:t>via</w:t>
      </w:r>
      <w:r w:rsidRPr="007151AD">
        <w:rPr>
          <w:color w:val="5B9BD5" w:themeColor="accent5"/>
        </w:rPr>
        <w:t xml:space="preserve"> inhibiting </w:t>
      </w:r>
      <w:r w:rsidRPr="007151AD">
        <w:rPr>
          <w:i/>
          <w:iCs/>
          <w:color w:val="5B9BD5" w:themeColor="accent5"/>
        </w:rPr>
        <w:t xml:space="preserve">AR-V7 </w:t>
      </w:r>
      <w:r w:rsidRPr="007151AD">
        <w:rPr>
          <w:color w:val="5B9BD5" w:themeColor="accent5"/>
        </w:rPr>
        <w:t>expression</w:t>
      </w:r>
    </w:p>
    <w:p w14:paraId="56CC2103" w14:textId="20B90C9D" w:rsidR="00784123" w:rsidRPr="007151AD" w:rsidRDefault="007151AD" w:rsidP="007151AD">
      <w:pPr>
        <w:pStyle w:val="11"/>
        <w:jc w:val="left"/>
      </w:pPr>
      <w:r w:rsidRPr="007151AD">
        <w:rPr>
          <w:rFonts w:hint="eastAsia"/>
        </w:rPr>
        <w:t>Wenchang</w:t>
      </w:r>
      <w:r w:rsidRPr="007151AD">
        <w:t xml:space="preserve"> Y</w:t>
      </w:r>
      <w:r w:rsidRPr="007151AD">
        <w:rPr>
          <w:rFonts w:hint="eastAsia"/>
        </w:rPr>
        <w:t>ue</w:t>
      </w:r>
      <w:r w:rsidRPr="007151AD">
        <w:t>, M.D.  Ph.D. Candidate, Soochow University, Suzhou China</w:t>
      </w:r>
    </w:p>
    <w:p w14:paraId="7A4429C6" w14:textId="1A0B0A26" w:rsidR="007151AD" w:rsidRPr="007151AD" w:rsidRDefault="007151AD" w:rsidP="007151AD">
      <w:pPr>
        <w:pStyle w:val="11"/>
        <w:jc w:val="left"/>
      </w:pPr>
      <w:r w:rsidRPr="007151AD">
        <w:t>Dr. Ying Xu, Prof. Principal Investigator, Director of CAM-SU, Genomic Resource Center, Soochow University, Suzhou China</w:t>
      </w:r>
    </w:p>
    <w:p w14:paraId="38FD4A6D" w14:textId="015F9865" w:rsidR="007151AD" w:rsidRPr="007151AD" w:rsidRDefault="007151AD" w:rsidP="007151AD">
      <w:pPr>
        <w:pStyle w:val="11"/>
        <w:jc w:val="left"/>
      </w:pPr>
      <w:r w:rsidRPr="007151AD">
        <w:t xml:space="preserve">Dr. </w:t>
      </w:r>
      <w:proofErr w:type="spellStart"/>
      <w:r w:rsidRPr="007151AD">
        <w:t>Jianquan</w:t>
      </w:r>
      <w:proofErr w:type="spellEnd"/>
      <w:r w:rsidRPr="007151AD">
        <w:t xml:space="preserve"> Hou, M.D. Prof, President of </w:t>
      </w:r>
      <w:proofErr w:type="spellStart"/>
      <w:r w:rsidRPr="007151AD">
        <w:t>Dushu</w:t>
      </w:r>
      <w:proofErr w:type="spellEnd"/>
      <w:r w:rsidRPr="007151AD">
        <w:t xml:space="preserve"> Lake Hospital Affiliated to Soochow University, Suzhou China</w:t>
      </w:r>
    </w:p>
    <w:p w14:paraId="3D5A7500" w14:textId="7E71B148" w:rsidR="007151AD" w:rsidRDefault="007151AD" w:rsidP="00784123">
      <w:pPr>
        <w:pStyle w:val="11"/>
        <w:rPr>
          <w:color w:val="BF5A14"/>
        </w:rPr>
      </w:pPr>
    </w:p>
    <w:p w14:paraId="0732251C" w14:textId="77777777" w:rsidR="007151AD" w:rsidRDefault="007151AD" w:rsidP="00784123">
      <w:pPr>
        <w:pStyle w:val="11"/>
        <w:rPr>
          <w:color w:val="BF5A14"/>
        </w:rPr>
        <w:sectPr w:rsidR="007151AD" w:rsidSect="007151AD">
          <w:type w:val="continuous"/>
          <w:pgSz w:w="11906" w:h="16838"/>
          <w:pgMar w:top="720" w:right="720" w:bottom="720" w:left="720" w:header="851" w:footer="992" w:gutter="0"/>
          <w:cols w:space="425"/>
          <w:docGrid w:type="lines" w:linePitch="312"/>
        </w:sectPr>
      </w:pPr>
    </w:p>
    <w:p w14:paraId="0028CAE5" w14:textId="30DEB767" w:rsidR="00E441B6" w:rsidRPr="007151AD" w:rsidRDefault="00784123" w:rsidP="007151AD">
      <w:pPr>
        <w:pStyle w:val="11"/>
        <w:rPr>
          <w:rFonts w:ascii="Arial" w:hAnsi="Arial" w:cs="Arial"/>
          <w:b/>
          <w:bCs/>
        </w:rPr>
      </w:pPr>
      <w:r w:rsidRPr="007151AD">
        <w:rPr>
          <w:rFonts w:ascii="Arial" w:hAnsi="Arial" w:cs="Arial"/>
          <w:b/>
          <w:bCs/>
          <w:color w:val="BF5A14"/>
        </w:rPr>
        <w:t>Abstract</w:t>
      </w:r>
    </w:p>
    <w:p w14:paraId="66872475" w14:textId="765A457D" w:rsidR="00895906" w:rsidRDefault="00895906" w:rsidP="007151AD">
      <w:r>
        <w:t>Prostate cancer is the second most prevalent cancer in men and the sixth leading cause of cancer death worldwide</w:t>
      </w:r>
      <w:r>
        <w:rPr>
          <w:rFonts w:cs="Calibri" w:hint="eastAsia"/>
        </w:rPr>
        <w:t>.</w:t>
      </w:r>
      <w:r>
        <w:t xml:space="preserve"> Age, family history, race, tobacco use, obesity, diet, and circadian disruption are all risk factors for prostate cancer. Epidemiological studies of circadian disruption focus primarily on night shift work. The 2017 Nobel Prize in Physiology or Medicine was awarded to Jeffrey C. Hall, Michael </w:t>
      </w:r>
      <w:proofErr w:type="spellStart"/>
      <w:r>
        <w:t>Rosbash</w:t>
      </w:r>
      <w:proofErr w:type="spellEnd"/>
      <w:r>
        <w:t xml:space="preserve">, and Michael W. Young for making it possible to study the molecular mechanisms underlying circadian rhythms. The molecular mechanisms between circadian rhythm genes and diseases, including prostate cancer, have been gradually revealed, and these studies hold promise for future clinical </w:t>
      </w:r>
      <w:proofErr w:type="gramStart"/>
      <w:r>
        <w:t>application</w:t>
      </w:r>
      <w:r>
        <w:rPr>
          <w:vertAlign w:val="superscript"/>
        </w:rPr>
        <w:t xml:space="preserve"> </w:t>
      </w:r>
      <w:r>
        <w:t>.</w:t>
      </w:r>
      <w:proofErr w:type="gramEnd"/>
      <w:r>
        <w:t xml:space="preserve"> </w:t>
      </w:r>
    </w:p>
    <w:p w14:paraId="1090A384" w14:textId="0DC02B23" w:rsidR="00603915" w:rsidRDefault="00E441B6" w:rsidP="007151AD">
      <w:r w:rsidRPr="00E441B6">
        <w:t>However, the relationship between the molecular mechanism of circadian rhythm and the development of prostate cancer has not been fully clarified. We observed that a microRNA plays an important role in the regulation of circadian rhythms and prostate</w:t>
      </w:r>
      <w:r w:rsidR="007151AD">
        <w:t xml:space="preserve"> </w:t>
      </w:r>
      <w:r w:rsidR="007151AD">
        <w:rPr>
          <w:rFonts w:hint="eastAsia"/>
        </w:rPr>
        <w:t>cancer</w:t>
      </w:r>
      <w:r w:rsidR="007151AD">
        <w:t xml:space="preserve"> </w:t>
      </w:r>
      <w:r w:rsidR="007151AD" w:rsidRPr="007151AD">
        <w:t>proliferation</w:t>
      </w:r>
      <w:r w:rsidRPr="00E441B6">
        <w:t>.</w:t>
      </w:r>
      <w:r>
        <w:t xml:space="preserve"> </w:t>
      </w:r>
      <w:r w:rsidR="00F55913" w:rsidRPr="00F55913">
        <w:t xml:space="preserve">Our study shows that </w:t>
      </w:r>
      <w:r w:rsidR="00F55913" w:rsidRPr="007151AD">
        <w:rPr>
          <w:i/>
          <w:iCs/>
        </w:rPr>
        <w:t>miR-6883-5p</w:t>
      </w:r>
      <w:r w:rsidR="00F55913" w:rsidRPr="00F55913">
        <w:t xml:space="preserve"> is associated with circadian rhythm and can inhibit </w:t>
      </w:r>
      <w:r w:rsidR="00F55913" w:rsidRPr="007151AD">
        <w:rPr>
          <w:i/>
          <w:iCs/>
        </w:rPr>
        <w:t>AR-V7</w:t>
      </w:r>
      <w:r w:rsidR="00F55913" w:rsidRPr="00F55913">
        <w:t xml:space="preserve">, thereby suppressing the growth of enzalutamide-resistant prostate cancer. Our research provides a potential therapeutic target for enzalutamide-resistant prostate cancer and expands the understanding of circadian clock regulation </w:t>
      </w:r>
      <w:proofErr w:type="gramStart"/>
      <w:r w:rsidR="00F55913" w:rsidRPr="00F55913">
        <w:t>regulatory</w:t>
      </w:r>
      <w:r w:rsidR="007151AD">
        <w:t xml:space="preserve">  </w:t>
      </w:r>
      <w:r w:rsidR="00F55913" w:rsidRPr="00F55913">
        <w:t>mechanisms</w:t>
      </w:r>
      <w:proofErr w:type="gramEnd"/>
      <w:r w:rsidR="00F55913" w:rsidRPr="00F55913">
        <w:t>.</w:t>
      </w:r>
    </w:p>
    <w:p w14:paraId="7411CC45" w14:textId="527C24AD" w:rsidR="007151AD" w:rsidRDefault="007151AD" w:rsidP="007151AD"/>
    <w:p w14:paraId="7EF8E081" w14:textId="77777777" w:rsidR="007151AD" w:rsidRDefault="007151AD" w:rsidP="007151AD">
      <w:pPr>
        <w:pStyle w:val="11"/>
        <w:rPr>
          <w:rFonts w:ascii="Arial" w:hAnsi="Arial" w:cs="Arial"/>
          <w:b/>
          <w:bCs/>
          <w:color w:val="BF5A14"/>
        </w:rPr>
      </w:pPr>
    </w:p>
    <w:p w14:paraId="0DD39C5F" w14:textId="0CF3C5D3" w:rsidR="007151AD" w:rsidRPr="007151AD" w:rsidRDefault="007151AD" w:rsidP="007151AD">
      <w:pPr>
        <w:pStyle w:val="11"/>
        <w:rPr>
          <w:rFonts w:ascii="Arial" w:hAnsi="Arial" w:cs="Arial"/>
          <w:b/>
          <w:bCs/>
        </w:rPr>
      </w:pPr>
      <w:r>
        <w:rPr>
          <w:rFonts w:ascii="Arial" w:hAnsi="Arial" w:cs="Arial"/>
          <w:b/>
          <w:bCs/>
          <w:color w:val="BF5A14"/>
        </w:rPr>
        <w:t>I</w:t>
      </w:r>
      <w:r>
        <w:rPr>
          <w:rFonts w:ascii="Arial" w:hAnsi="Arial" w:cs="Arial" w:hint="eastAsia"/>
          <w:b/>
          <w:bCs/>
          <w:color w:val="BF5A14"/>
        </w:rPr>
        <w:t>mage</w:t>
      </w:r>
      <w:r>
        <w:rPr>
          <w:rFonts w:ascii="Arial" w:hAnsi="Arial" w:cs="Arial" w:hint="eastAsia"/>
          <w:b/>
          <w:bCs/>
          <w:noProof/>
        </w:rPr>
        <w:drawing>
          <wp:anchor distT="0" distB="0" distL="114300" distR="114300" simplePos="0" relativeHeight="251698688" behindDoc="1" locked="0" layoutInCell="1" allowOverlap="1" wp14:anchorId="77C586B8" wp14:editId="794C0461">
            <wp:simplePos x="0" y="0"/>
            <wp:positionH relativeFrom="column">
              <wp:posOffset>1270</wp:posOffset>
            </wp:positionH>
            <wp:positionV relativeFrom="paragraph">
              <wp:posOffset>198120</wp:posOffset>
            </wp:positionV>
            <wp:extent cx="1947545" cy="2087245"/>
            <wp:effectExtent l="0" t="0" r="0" b="0"/>
            <wp:wrapTight wrapText="bothSides">
              <wp:wrapPolygon edited="0">
                <wp:start x="0" y="0"/>
                <wp:lineTo x="0" y="21488"/>
                <wp:lineTo x="21339" y="21488"/>
                <wp:lineTo x="21339" y="0"/>
                <wp:lineTo x="0" y="0"/>
              </wp:wrapPolygon>
            </wp:wrapTight>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47545" cy="2087245"/>
                    </a:xfrm>
                    <a:prstGeom prst="rect">
                      <a:avLst/>
                    </a:prstGeom>
                  </pic:spPr>
                </pic:pic>
              </a:graphicData>
            </a:graphic>
            <wp14:sizeRelH relativeFrom="margin">
              <wp14:pctWidth>0</wp14:pctWidth>
            </wp14:sizeRelH>
            <wp14:sizeRelV relativeFrom="margin">
              <wp14:pctHeight>0</wp14:pctHeight>
            </wp14:sizeRelV>
          </wp:anchor>
        </w:drawing>
      </w:r>
    </w:p>
    <w:p w14:paraId="5E409607" w14:textId="28EFF7AD" w:rsidR="007151AD" w:rsidRPr="007151AD" w:rsidRDefault="007151AD" w:rsidP="007151AD">
      <w:pPr>
        <w:jc w:val="left"/>
        <w:rPr>
          <w:rFonts w:ascii="Arial" w:eastAsia="Tw Cen MT" w:cs="Tw Cen MT"/>
          <w:b/>
          <w:sz w:val="18"/>
          <w:szCs w:val="18"/>
        </w:rPr>
      </w:pPr>
      <w:r w:rsidRPr="007151AD">
        <w:rPr>
          <w:rFonts w:ascii="Arial" w:eastAsia="Tw Cen MT" w:cs="Tw Cen MT"/>
          <w:b/>
          <w:sz w:val="18"/>
          <w:szCs w:val="18"/>
        </w:rPr>
        <w:t>Figure 1: Schematic diagram of miR-6883-5p regulatory mechanism</w:t>
      </w:r>
    </w:p>
    <w:p w14:paraId="183B9B3A" w14:textId="77777777" w:rsidR="007151AD" w:rsidRPr="007151AD" w:rsidRDefault="007151AD" w:rsidP="007151AD">
      <w:pPr>
        <w:jc w:val="left"/>
        <w:rPr>
          <w:rFonts w:ascii="Arial" w:eastAsia="Tw Cen MT" w:cs="Tw Cen MT"/>
          <w:b/>
          <w:sz w:val="18"/>
          <w:szCs w:val="18"/>
        </w:rPr>
      </w:pPr>
    </w:p>
    <w:p w14:paraId="4B935830" w14:textId="77777777" w:rsidR="007151AD" w:rsidRDefault="007151AD" w:rsidP="007151AD">
      <w:pPr>
        <w:rPr>
          <w:rFonts w:ascii="Arial" w:eastAsia="Tw Cen MT" w:cs="Tw Cen MT"/>
          <w:b/>
          <w:color w:val="BF5A14"/>
        </w:rPr>
      </w:pPr>
    </w:p>
    <w:p w14:paraId="30D4D609" w14:textId="77777777" w:rsidR="007151AD" w:rsidRDefault="007151AD" w:rsidP="007151AD">
      <w:pPr>
        <w:rPr>
          <w:rFonts w:ascii="Arial" w:eastAsia="Tw Cen MT" w:cs="Tw Cen MT"/>
          <w:b/>
          <w:color w:val="BF5A14"/>
        </w:rPr>
      </w:pPr>
    </w:p>
    <w:p w14:paraId="2D8994FC" w14:textId="77777777" w:rsidR="007151AD" w:rsidRDefault="007151AD" w:rsidP="007151AD">
      <w:pPr>
        <w:rPr>
          <w:rFonts w:ascii="Arial" w:eastAsia="Tw Cen MT" w:cs="Tw Cen MT"/>
          <w:b/>
          <w:color w:val="BF5A14"/>
        </w:rPr>
      </w:pPr>
    </w:p>
    <w:p w14:paraId="3BCE8A67" w14:textId="77777777" w:rsidR="007151AD" w:rsidRDefault="007151AD" w:rsidP="007151AD">
      <w:pPr>
        <w:rPr>
          <w:rFonts w:ascii="Arial" w:eastAsia="Tw Cen MT" w:cs="Tw Cen MT"/>
          <w:b/>
          <w:color w:val="BF5A14"/>
        </w:rPr>
      </w:pPr>
    </w:p>
    <w:p w14:paraId="0A8AFF54" w14:textId="77777777" w:rsidR="007151AD" w:rsidRPr="007151AD" w:rsidRDefault="007151AD" w:rsidP="007151AD">
      <w:pPr>
        <w:rPr>
          <w:rFonts w:ascii="Arial" w:eastAsia="Tw Cen MT" w:cs="Tw Cen MT"/>
          <w:b/>
          <w:color w:val="BF5A14"/>
        </w:rPr>
      </w:pPr>
    </w:p>
    <w:p w14:paraId="19FD6F33" w14:textId="77777777" w:rsidR="007151AD" w:rsidRPr="007151AD" w:rsidRDefault="007151AD" w:rsidP="007151AD">
      <w:pPr>
        <w:rPr>
          <w:rFonts w:ascii="Arial" w:eastAsiaTheme="minorEastAsia" w:cs="Tw Cen MT"/>
          <w:b/>
          <w:color w:val="BF5A14"/>
        </w:rPr>
      </w:pPr>
    </w:p>
    <w:p w14:paraId="4B280EC2" w14:textId="77777777" w:rsidR="007151AD" w:rsidRDefault="007151AD" w:rsidP="007151AD">
      <w:pPr>
        <w:rPr>
          <w:rFonts w:ascii="Arial" w:eastAsia="Tw Cen MT" w:cs="Tw Cen MT"/>
          <w:b/>
          <w:color w:val="BF5A14"/>
        </w:rPr>
      </w:pPr>
    </w:p>
    <w:p w14:paraId="6DACC768" w14:textId="2A9FAFCD" w:rsidR="007151AD" w:rsidRDefault="007151AD" w:rsidP="007151AD">
      <w:pPr>
        <w:rPr>
          <w:rFonts w:ascii="Tw Cen MT" w:hAnsi="Tw Cen MT"/>
          <w:szCs w:val="22"/>
        </w:rPr>
      </w:pPr>
      <w:r>
        <w:rPr>
          <w:rFonts w:ascii="Arial" w:eastAsia="Tw Cen MT" w:cs="Tw Cen MT"/>
          <w:b/>
          <w:color w:val="BF5A14"/>
        </w:rPr>
        <w:t>Publications</w:t>
      </w:r>
    </w:p>
    <w:p w14:paraId="186ACCD5" w14:textId="77777777" w:rsidR="007151AD" w:rsidRPr="007151AD" w:rsidRDefault="007151AD" w:rsidP="007151AD">
      <w:pPr>
        <w:pStyle w:val="msolistparagraph0"/>
        <w:widowControl/>
        <w:numPr>
          <w:ilvl w:val="0"/>
          <w:numId w:val="2"/>
        </w:numPr>
        <w:ind w:firstLineChars="0"/>
        <w:jc w:val="left"/>
        <w:rPr>
          <w:rFonts w:cs="Calibri"/>
          <w:sz w:val="16"/>
          <w:szCs w:val="16"/>
        </w:rPr>
      </w:pPr>
      <w:r w:rsidRPr="007151AD">
        <w:rPr>
          <w:rFonts w:cs="Calibri"/>
          <w:color w:val="212121"/>
          <w:sz w:val="16"/>
          <w:szCs w:val="16"/>
          <w:shd w:val="clear" w:color="auto" w:fill="FFFFFF"/>
        </w:rPr>
        <w:t xml:space="preserve">Yue W, Du X, Wang X, et al. Prognostic values of the core components of the mammalian circadian clock in prostate cancer. </w:t>
      </w:r>
      <w:proofErr w:type="spellStart"/>
      <w:r w:rsidRPr="007151AD">
        <w:rPr>
          <w:rFonts w:cs="Calibri"/>
          <w:color w:val="212121"/>
          <w:sz w:val="16"/>
          <w:szCs w:val="16"/>
          <w:shd w:val="clear" w:color="auto" w:fill="FFFFFF"/>
        </w:rPr>
        <w:t>PeerJ</w:t>
      </w:r>
      <w:proofErr w:type="spellEnd"/>
      <w:r w:rsidRPr="007151AD">
        <w:rPr>
          <w:rFonts w:cs="Calibri"/>
          <w:color w:val="212121"/>
          <w:sz w:val="16"/>
          <w:szCs w:val="16"/>
          <w:shd w:val="clear" w:color="auto" w:fill="FFFFFF"/>
        </w:rPr>
        <w:t>. 2021;</w:t>
      </w:r>
      <w:proofErr w:type="gramStart"/>
      <w:r w:rsidRPr="007151AD">
        <w:rPr>
          <w:rFonts w:cs="Calibri"/>
          <w:color w:val="212121"/>
          <w:sz w:val="16"/>
          <w:szCs w:val="16"/>
          <w:shd w:val="clear" w:color="auto" w:fill="FFFFFF"/>
        </w:rPr>
        <w:t>9:e</w:t>
      </w:r>
      <w:proofErr w:type="gramEnd"/>
      <w:r w:rsidRPr="007151AD">
        <w:rPr>
          <w:rFonts w:cs="Calibri"/>
          <w:color w:val="212121"/>
          <w:sz w:val="16"/>
          <w:szCs w:val="16"/>
          <w:shd w:val="clear" w:color="auto" w:fill="FFFFFF"/>
        </w:rPr>
        <w:t>12539. Published 2021 Dec 9. doi:10.7717/peerj.12539</w:t>
      </w:r>
    </w:p>
    <w:p w14:paraId="5440B828" w14:textId="77777777" w:rsidR="007151AD" w:rsidRPr="007151AD" w:rsidRDefault="007151AD" w:rsidP="007151AD">
      <w:pPr>
        <w:pStyle w:val="msolistparagraph0"/>
        <w:widowControl/>
        <w:numPr>
          <w:ilvl w:val="0"/>
          <w:numId w:val="2"/>
        </w:numPr>
        <w:ind w:firstLineChars="0"/>
        <w:jc w:val="left"/>
        <w:rPr>
          <w:rFonts w:cs="Calibri"/>
          <w:sz w:val="16"/>
          <w:szCs w:val="16"/>
        </w:rPr>
      </w:pPr>
      <w:r w:rsidRPr="007151AD">
        <w:rPr>
          <w:rFonts w:cs="Calibri"/>
          <w:sz w:val="16"/>
          <w:szCs w:val="16"/>
        </w:rPr>
        <w:t xml:space="preserve">Sun J, Yue W, You J, et al. Identification of a Novel Ferroptosis-Related Gene Prognostic Signature in Bladder Cancer. Front Oncol. </w:t>
      </w:r>
      <w:proofErr w:type="gramStart"/>
      <w:r w:rsidRPr="007151AD">
        <w:rPr>
          <w:rFonts w:cs="Calibri"/>
          <w:sz w:val="16"/>
          <w:szCs w:val="16"/>
        </w:rPr>
        <w:t>2021;11:730716</w:t>
      </w:r>
      <w:proofErr w:type="gramEnd"/>
      <w:r w:rsidRPr="007151AD">
        <w:rPr>
          <w:rFonts w:cs="Calibri"/>
          <w:sz w:val="16"/>
          <w:szCs w:val="16"/>
        </w:rPr>
        <w:t>. Published 2021 Sep 7. doi:10.3389/fonc.2021.730716</w:t>
      </w:r>
    </w:p>
    <w:p w14:paraId="51E5B9E3" w14:textId="6249ECAD" w:rsidR="007151AD" w:rsidRPr="007151AD" w:rsidRDefault="007151AD" w:rsidP="007151AD">
      <w:pPr>
        <w:pStyle w:val="msolistparagraph0"/>
        <w:widowControl/>
        <w:numPr>
          <w:ilvl w:val="0"/>
          <w:numId w:val="2"/>
        </w:numPr>
        <w:ind w:firstLineChars="0"/>
        <w:jc w:val="left"/>
        <w:rPr>
          <w:rFonts w:cs="Calibri"/>
          <w:sz w:val="16"/>
          <w:szCs w:val="16"/>
        </w:rPr>
      </w:pPr>
      <w:r w:rsidRPr="007151AD">
        <w:rPr>
          <w:rFonts w:cs="Calibri"/>
          <w:sz w:val="16"/>
          <w:szCs w:val="16"/>
        </w:rPr>
        <w:t xml:space="preserve">Sun J, Wei X, You J, et al. STC1 is a Novel Biomarker Associated with Immune Characteristics and Prognosis of Bladder Cancer. Int J Gen Med. </w:t>
      </w:r>
      <w:proofErr w:type="gramStart"/>
      <w:r w:rsidRPr="007151AD">
        <w:rPr>
          <w:rFonts w:cs="Calibri"/>
          <w:sz w:val="16"/>
          <w:szCs w:val="16"/>
        </w:rPr>
        <w:t>2021;14:5505</w:t>
      </w:r>
      <w:proofErr w:type="gramEnd"/>
      <w:r w:rsidRPr="007151AD">
        <w:rPr>
          <w:rFonts w:cs="Calibri"/>
          <w:sz w:val="16"/>
          <w:szCs w:val="16"/>
        </w:rPr>
        <w:t>-5516. Published 2021 Sep 11. doi:10.2147/IJGM.S329723</w:t>
      </w:r>
    </w:p>
    <w:p w14:paraId="75190DC2" w14:textId="77777777" w:rsidR="007151AD" w:rsidRPr="007151AD" w:rsidRDefault="007151AD" w:rsidP="007151AD">
      <w:pPr>
        <w:pStyle w:val="msolistparagraph0"/>
        <w:widowControl/>
        <w:numPr>
          <w:ilvl w:val="0"/>
          <w:numId w:val="2"/>
        </w:numPr>
        <w:ind w:firstLineChars="0"/>
        <w:jc w:val="left"/>
        <w:rPr>
          <w:rFonts w:cs="Calibri"/>
          <w:sz w:val="16"/>
          <w:szCs w:val="16"/>
        </w:rPr>
      </w:pPr>
      <w:r w:rsidRPr="007151AD">
        <w:rPr>
          <w:rFonts w:cs="Calibri"/>
          <w:sz w:val="16"/>
          <w:szCs w:val="16"/>
        </w:rPr>
        <w:t xml:space="preserve">Yue W, et al. Circadian rhythm-related </w:t>
      </w:r>
      <w:r w:rsidRPr="001B3EE2">
        <w:rPr>
          <w:rFonts w:cs="Calibri"/>
          <w:i/>
          <w:iCs/>
          <w:sz w:val="16"/>
          <w:szCs w:val="16"/>
        </w:rPr>
        <w:t>miR-6883-5p</w:t>
      </w:r>
      <w:r w:rsidRPr="007151AD">
        <w:rPr>
          <w:rFonts w:cs="Calibri"/>
          <w:sz w:val="16"/>
          <w:szCs w:val="16"/>
        </w:rPr>
        <w:t xml:space="preserve"> suppresses enzalutamide-resistant prostate cancer proliferation via inhibiting </w:t>
      </w:r>
      <w:r w:rsidRPr="001B3EE2">
        <w:rPr>
          <w:rFonts w:cs="Calibri"/>
          <w:i/>
          <w:iCs/>
          <w:sz w:val="16"/>
          <w:szCs w:val="16"/>
        </w:rPr>
        <w:t xml:space="preserve">AR-V7 </w:t>
      </w:r>
      <w:r w:rsidRPr="007151AD">
        <w:rPr>
          <w:rFonts w:cs="Calibri"/>
          <w:sz w:val="16"/>
          <w:szCs w:val="16"/>
        </w:rPr>
        <w:t xml:space="preserve">expression. </w:t>
      </w:r>
      <w:proofErr w:type="gramStart"/>
      <w:r w:rsidRPr="007151AD">
        <w:rPr>
          <w:rFonts w:cs="Calibri"/>
          <w:sz w:val="16"/>
          <w:szCs w:val="16"/>
        </w:rPr>
        <w:t>( Contributing</w:t>
      </w:r>
      <w:proofErr w:type="gramEnd"/>
      <w:r w:rsidRPr="007151AD">
        <w:rPr>
          <w:rFonts w:cs="Calibri"/>
          <w:sz w:val="16"/>
          <w:szCs w:val="16"/>
        </w:rPr>
        <w:t>)</w:t>
      </w:r>
    </w:p>
    <w:p w14:paraId="40BC2A25" w14:textId="77777777" w:rsidR="007151AD" w:rsidRDefault="007151AD" w:rsidP="007151AD">
      <w:pPr>
        <w:pStyle w:val="msolistparagraph0"/>
        <w:widowControl/>
        <w:numPr>
          <w:ilvl w:val="0"/>
          <w:numId w:val="2"/>
        </w:numPr>
        <w:ind w:firstLineChars="0"/>
        <w:jc w:val="left"/>
        <w:rPr>
          <w:rFonts w:cs="Calibri"/>
          <w:sz w:val="16"/>
          <w:szCs w:val="16"/>
        </w:rPr>
      </w:pPr>
      <w:r w:rsidRPr="007151AD">
        <w:rPr>
          <w:rFonts w:cs="Calibri"/>
          <w:sz w:val="16"/>
          <w:szCs w:val="16"/>
        </w:rPr>
        <w:t xml:space="preserve">Yue W, et al. Important hub-RNAs in the development of prostate cancer identified by RIC-seq. </w:t>
      </w:r>
      <w:proofErr w:type="gramStart"/>
      <w:r w:rsidRPr="007151AD">
        <w:rPr>
          <w:rFonts w:cs="Calibri"/>
          <w:sz w:val="16"/>
          <w:szCs w:val="16"/>
        </w:rPr>
        <w:t>( Contribut</w:t>
      </w:r>
      <w:r>
        <w:rPr>
          <w:rFonts w:cs="Calibri" w:hint="eastAsia"/>
          <w:sz w:val="16"/>
          <w:szCs w:val="16"/>
        </w:rPr>
        <w:t>ing</w:t>
      </w:r>
      <w:proofErr w:type="gramEnd"/>
      <w:r>
        <w:rPr>
          <w:rFonts w:cs="Calibri" w:hint="eastAsia"/>
          <w:sz w:val="16"/>
          <w:szCs w:val="16"/>
        </w:rPr>
        <w:t>)</w:t>
      </w:r>
    </w:p>
    <w:p w14:paraId="21B8619A" w14:textId="151DCB54" w:rsidR="007151AD" w:rsidRPr="007151AD" w:rsidRDefault="007151AD" w:rsidP="007151AD">
      <w:pPr>
        <w:pStyle w:val="msolistparagraph0"/>
        <w:widowControl/>
        <w:pBdr>
          <w:bottom w:val="single" w:sz="6" w:space="1" w:color="auto"/>
        </w:pBdr>
        <w:ind w:firstLineChars="0" w:firstLine="0"/>
        <w:jc w:val="left"/>
        <w:rPr>
          <w:rFonts w:cs="Calibri"/>
          <w:sz w:val="16"/>
          <w:szCs w:val="16"/>
        </w:rPr>
        <w:sectPr w:rsidR="007151AD" w:rsidRPr="007151AD" w:rsidSect="007151AD">
          <w:type w:val="continuous"/>
          <w:pgSz w:w="11906" w:h="16838"/>
          <w:pgMar w:top="720" w:right="720" w:bottom="720" w:left="720" w:header="851" w:footer="992" w:gutter="0"/>
          <w:cols w:num="2" w:space="425"/>
          <w:docGrid w:type="lines" w:linePitch="312"/>
        </w:sectPr>
      </w:pPr>
    </w:p>
    <w:p w14:paraId="7FFAFC61" w14:textId="77777777" w:rsidR="007151AD" w:rsidRDefault="007151AD"/>
    <w:p w14:paraId="6121B7A2" w14:textId="77777777" w:rsidR="007151AD" w:rsidRDefault="007151AD" w:rsidP="007151AD">
      <w:pPr>
        <w:pStyle w:val="a5"/>
        <w:pBdr>
          <w:bottom w:val="single" w:sz="6" w:space="1" w:color="auto"/>
        </w:pBdr>
        <w:spacing w:before="3"/>
        <w:rPr>
          <w:rFonts w:ascii="Calibri" w:hAnsi="Calibri" w:cs="Times New Roman"/>
          <w:sz w:val="21"/>
          <w:szCs w:val="21"/>
        </w:rPr>
        <w:sectPr w:rsidR="007151AD" w:rsidSect="007151AD">
          <w:type w:val="continuous"/>
          <w:pgSz w:w="11906" w:h="16838"/>
          <w:pgMar w:top="720" w:right="720" w:bottom="720" w:left="720" w:header="851" w:footer="992" w:gutter="0"/>
          <w:cols w:num="2" w:space="425"/>
          <w:docGrid w:type="lines" w:linePitch="312"/>
        </w:sectPr>
      </w:pPr>
    </w:p>
    <w:p w14:paraId="66BE6852" w14:textId="77777777" w:rsidR="007151AD" w:rsidRDefault="007151AD" w:rsidP="007151AD">
      <w:pPr>
        <w:pStyle w:val="a5"/>
        <w:spacing w:before="3"/>
        <w:rPr>
          <w:rFonts w:ascii="Calibri" w:hAnsi="Calibri" w:cs="Times New Roman"/>
          <w:sz w:val="21"/>
          <w:szCs w:val="21"/>
        </w:rPr>
        <w:sectPr w:rsidR="007151AD" w:rsidSect="007151AD">
          <w:type w:val="continuous"/>
          <w:pgSz w:w="11906" w:h="16838"/>
          <w:pgMar w:top="720" w:right="720" w:bottom="720" w:left="720" w:header="851" w:footer="992" w:gutter="0"/>
          <w:cols w:space="425"/>
          <w:docGrid w:type="lines" w:linePitch="312"/>
        </w:sectPr>
      </w:pPr>
    </w:p>
    <w:p w14:paraId="29F1236F" w14:textId="77777777" w:rsidR="007151AD" w:rsidRDefault="007151AD" w:rsidP="007151AD">
      <w:pPr>
        <w:pStyle w:val="a5"/>
        <w:spacing w:before="3"/>
        <w:rPr>
          <w:rFonts w:ascii="Calibri" w:hAnsi="Calibri" w:cs="Times New Roman"/>
          <w:sz w:val="21"/>
          <w:szCs w:val="21"/>
        </w:rPr>
      </w:pPr>
    </w:p>
    <w:p w14:paraId="11E41EB4" w14:textId="05BD45C9" w:rsidR="007151AD" w:rsidRDefault="007151AD" w:rsidP="007151AD">
      <w:pPr>
        <w:pStyle w:val="a5"/>
        <w:spacing w:before="3"/>
        <w:rPr>
          <w:rFonts w:ascii="Minion Pro" w:eastAsia="Tw Cen MT" w:cs="Tw Cen MT"/>
          <w:sz w:val="26"/>
          <w:szCs w:val="26"/>
        </w:rPr>
      </w:pPr>
      <w:r>
        <w:rPr>
          <w:rFonts w:ascii="Calibri" w:hAnsi="Calibri" w:cs="Times New Roman"/>
          <w:noProof/>
          <w:sz w:val="21"/>
          <w:szCs w:val="21"/>
        </w:rPr>
        <w:drawing>
          <wp:anchor distT="0" distB="0" distL="114300" distR="114300" simplePos="0" relativeHeight="251661312" behindDoc="0" locked="0" layoutInCell="1" allowOverlap="1" wp14:anchorId="492AD1A9" wp14:editId="7F4C883D">
            <wp:simplePos x="0" y="0"/>
            <wp:positionH relativeFrom="column">
              <wp:posOffset>0</wp:posOffset>
            </wp:positionH>
            <wp:positionV relativeFrom="paragraph">
              <wp:posOffset>22261</wp:posOffset>
            </wp:positionV>
            <wp:extent cx="686591" cy="915476"/>
            <wp:effectExtent l="0" t="0" r="0" b="0"/>
            <wp:wrapSquare wrapText="bothSides"/>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pic:nvPicPr>
                  <pic:blipFill>
                    <a:blip r:embed="rId6" cstate="print">
                      <a:extLst>
                        <a:ext uri="{28A0092B-C50C-407E-A947-70E740481C1C}">
                          <a14:useLocalDpi xmlns:a14="http://schemas.microsoft.com/office/drawing/2010/main" val="0"/>
                        </a:ext>
                      </a:extLst>
                    </a:blip>
                    <a:stretch>
                      <a:fillRect/>
                    </a:stretch>
                  </pic:blipFill>
                  <pic:spPr>
                    <a:xfrm>
                      <a:off x="0" y="0"/>
                      <a:ext cx="686591" cy="915476"/>
                    </a:xfrm>
                    <a:prstGeom prst="rect">
                      <a:avLst/>
                    </a:prstGeom>
                  </pic:spPr>
                </pic:pic>
              </a:graphicData>
            </a:graphic>
          </wp:anchor>
        </w:drawing>
      </w:r>
      <w:r>
        <w:rPr>
          <w:rFonts w:ascii="Calibri" w:hAnsi="Calibri" w:cs="Times New Roman"/>
          <w:sz w:val="21"/>
          <w:szCs w:val="21"/>
        </w:rPr>
        <w:t>Yue Wenchang, from the First Affiliated Hospital of Soochow University in China, has completed urology resident standardization training in China and is now a Ph.D. candidate in urology, Soochow University. The primary focus of research is the association between prostate cancer and circadian rhythm. In addition, Yue has worked on the Internet for many years to popularize medical science, and his content has been read hundreds of millions of times.</w:t>
      </w:r>
    </w:p>
    <w:p w14:paraId="658EA1AF" w14:textId="77777777" w:rsidR="007151AD" w:rsidRDefault="007151AD">
      <w:pPr>
        <w:sectPr w:rsidR="007151AD" w:rsidSect="007151AD">
          <w:type w:val="continuous"/>
          <w:pgSz w:w="11906" w:h="16838"/>
          <w:pgMar w:top="720" w:right="720" w:bottom="720" w:left="720" w:header="851" w:footer="992" w:gutter="0"/>
          <w:cols w:space="425"/>
          <w:docGrid w:type="lines" w:linePitch="312"/>
        </w:sectPr>
      </w:pPr>
    </w:p>
    <w:p w14:paraId="3C760A34" w14:textId="77777777" w:rsidR="007151AD" w:rsidRPr="007151AD" w:rsidRDefault="007151AD"/>
    <w:sectPr w:rsidR="007151AD" w:rsidRPr="007151AD" w:rsidSect="007151AD">
      <w:type w:val="continuous"/>
      <w:pgSz w:w="11906" w:h="16838"/>
      <w:pgMar w:top="720" w:right="720" w:bottom="720" w:left="720" w:header="851" w:footer="992" w:gutter="0"/>
      <w:cols w:num="2"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Minion Pro">
    <w:altName w:val="Calibri"/>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1D4DB5"/>
    <w:multiLevelType w:val="hybridMultilevel"/>
    <w:tmpl w:val="F160B262"/>
    <w:lvl w:ilvl="0" w:tplc="F404E8AE">
      <w:start w:val="1"/>
      <w:numFmt w:val="decimal"/>
      <w:lvlText w:val="%1."/>
      <w:lvlJc w:val="left"/>
      <w:pPr>
        <w:ind w:left="360" w:hanging="360"/>
      </w:pPr>
      <w:rPr>
        <w:rFonts w:ascii="Segoe UI" w:hAnsi="Segoe UI" w:cs="Segoe UI" w:hint="default"/>
        <w:color w:val="2121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6EBD288D"/>
    <w:multiLevelType w:val="multilevel"/>
    <w:tmpl w:val="D37848DE"/>
    <w:lvl w:ilvl="0">
      <w:start w:val="1"/>
      <w:numFmt w:val="decimal"/>
      <w:lvlText w:val="%1."/>
      <w:lvlJc w:val="left"/>
      <w:pPr>
        <w:tabs>
          <w:tab w:val="num" w:pos="0"/>
        </w:tabs>
        <w:ind w:left="360" w:hanging="360"/>
      </w:pPr>
      <w:rPr>
        <w:rFonts w:ascii="Segoe UI" w:hAnsi="Segoe UI" w:cs="Segoe UI" w:hint="default"/>
        <w:color w:val="212121"/>
      </w:rPr>
    </w:lvl>
    <w:lvl w:ilvl="1">
      <w:start w:val="1"/>
      <w:numFmt w:val="lowerLetter"/>
      <w:lvlText w:val="%2)"/>
      <w:lvlJc w:val="left"/>
      <w:pPr>
        <w:tabs>
          <w:tab w:val="num" w:pos="0"/>
        </w:tabs>
        <w:ind w:left="840" w:hanging="420"/>
      </w:pPr>
      <w:rPr>
        <w:rFonts w:ascii="Times New Roman" w:hAnsi="Times New Roman" w:cs="Times New Roman" w:hint="default"/>
      </w:rPr>
    </w:lvl>
    <w:lvl w:ilvl="2">
      <w:start w:val="1"/>
      <w:numFmt w:val="lowerRoman"/>
      <w:lvlText w:val="%3."/>
      <w:lvlJc w:val="right"/>
      <w:pPr>
        <w:tabs>
          <w:tab w:val="num" w:pos="0"/>
        </w:tabs>
        <w:ind w:left="1260" w:hanging="420"/>
      </w:pPr>
      <w:rPr>
        <w:rFonts w:ascii="Times New Roman" w:hAnsi="Times New Roman" w:cs="Times New Roman" w:hint="default"/>
      </w:rPr>
    </w:lvl>
    <w:lvl w:ilvl="3">
      <w:start w:val="1"/>
      <w:numFmt w:val="decimal"/>
      <w:lvlText w:val="%4."/>
      <w:lvlJc w:val="left"/>
      <w:pPr>
        <w:tabs>
          <w:tab w:val="num" w:pos="0"/>
        </w:tabs>
        <w:ind w:left="1680" w:hanging="420"/>
      </w:pPr>
      <w:rPr>
        <w:rFonts w:ascii="Times New Roman" w:hAnsi="Times New Roman" w:cs="Times New Roman" w:hint="default"/>
      </w:rPr>
    </w:lvl>
    <w:lvl w:ilvl="4">
      <w:start w:val="1"/>
      <w:numFmt w:val="lowerLetter"/>
      <w:lvlText w:val="%5)"/>
      <w:lvlJc w:val="left"/>
      <w:pPr>
        <w:tabs>
          <w:tab w:val="num" w:pos="0"/>
        </w:tabs>
        <w:ind w:left="2100" w:hanging="420"/>
      </w:pPr>
      <w:rPr>
        <w:rFonts w:ascii="Times New Roman" w:hAnsi="Times New Roman" w:cs="Times New Roman" w:hint="default"/>
      </w:rPr>
    </w:lvl>
    <w:lvl w:ilvl="5">
      <w:start w:val="1"/>
      <w:numFmt w:val="lowerRoman"/>
      <w:lvlText w:val="%6."/>
      <w:lvlJc w:val="right"/>
      <w:pPr>
        <w:tabs>
          <w:tab w:val="num" w:pos="0"/>
        </w:tabs>
        <w:ind w:left="2520" w:hanging="420"/>
      </w:pPr>
      <w:rPr>
        <w:rFonts w:ascii="Times New Roman" w:hAnsi="Times New Roman" w:cs="Times New Roman" w:hint="default"/>
      </w:rPr>
    </w:lvl>
    <w:lvl w:ilvl="6">
      <w:start w:val="1"/>
      <w:numFmt w:val="decimal"/>
      <w:lvlText w:val="%7."/>
      <w:lvlJc w:val="left"/>
      <w:pPr>
        <w:tabs>
          <w:tab w:val="num" w:pos="0"/>
        </w:tabs>
        <w:ind w:left="2940" w:hanging="420"/>
      </w:pPr>
      <w:rPr>
        <w:rFonts w:ascii="Times New Roman" w:hAnsi="Times New Roman" w:cs="Times New Roman" w:hint="default"/>
      </w:rPr>
    </w:lvl>
    <w:lvl w:ilvl="7">
      <w:start w:val="1"/>
      <w:numFmt w:val="lowerLetter"/>
      <w:lvlText w:val="%8)"/>
      <w:lvlJc w:val="left"/>
      <w:pPr>
        <w:tabs>
          <w:tab w:val="num" w:pos="0"/>
        </w:tabs>
        <w:ind w:left="3360" w:hanging="420"/>
      </w:pPr>
      <w:rPr>
        <w:rFonts w:ascii="Times New Roman" w:hAnsi="Times New Roman" w:cs="Times New Roman" w:hint="default"/>
      </w:rPr>
    </w:lvl>
    <w:lvl w:ilvl="8">
      <w:start w:val="1"/>
      <w:numFmt w:val="lowerRoman"/>
      <w:lvlText w:val="%9."/>
      <w:lvlJc w:val="right"/>
      <w:pPr>
        <w:tabs>
          <w:tab w:val="num" w:pos="0"/>
        </w:tabs>
        <w:ind w:left="3780" w:hanging="420"/>
      </w:pPr>
      <w:rPr>
        <w:rFonts w:ascii="Times New Roman" w:hAnsi="Times New Roman" w:cs="Times New Roman" w:hint="default"/>
      </w:rPr>
    </w:lvl>
  </w:abstractNum>
  <w:num w:numId="1" w16cid:durableId="468211907">
    <w:abstractNumId w:val="0"/>
  </w:num>
  <w:num w:numId="2" w16cid:durableId="16190243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grammar="clean"/>
  <w:defaultTabStop w:val="4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906"/>
    <w:rsid w:val="00157BF2"/>
    <w:rsid w:val="001B3EE2"/>
    <w:rsid w:val="00387FC6"/>
    <w:rsid w:val="0044580B"/>
    <w:rsid w:val="00521A0C"/>
    <w:rsid w:val="00603915"/>
    <w:rsid w:val="0061380A"/>
    <w:rsid w:val="007151AD"/>
    <w:rsid w:val="00784123"/>
    <w:rsid w:val="00895906"/>
    <w:rsid w:val="00B06BEC"/>
    <w:rsid w:val="00E441B6"/>
    <w:rsid w:val="00EB78CE"/>
    <w:rsid w:val="00F559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DB9ED6"/>
  <w15:docId w15:val="{44B2FE42-541B-4EB7-AF31-79404699F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95906"/>
    <w:pPr>
      <w:widowControl w:val="0"/>
      <w:jc w:val="both"/>
    </w:pPr>
    <w:rPr>
      <w:rFonts w:ascii="Calibri" w:eastAsia="宋体" w:hAnsi="Calibri" w:cs="Times New Roman"/>
      <w:szCs w:val="21"/>
    </w:rPr>
  </w:style>
  <w:style w:type="paragraph" w:styleId="1">
    <w:name w:val="heading 1"/>
    <w:basedOn w:val="a"/>
    <w:next w:val="a"/>
    <w:link w:val="10"/>
    <w:uiPriority w:val="9"/>
    <w:qFormat/>
    <w:rsid w:val="00E441B6"/>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rsid w:val="00521A0C"/>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unhideWhenUsed/>
    <w:qFormat/>
    <w:rsid w:val="007151AD"/>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95906"/>
    <w:rPr>
      <w:color w:val="0000FF"/>
      <w:u w:val="single"/>
    </w:rPr>
  </w:style>
  <w:style w:type="paragraph" w:customStyle="1" w:styleId="11">
    <w:name w:val="正文1"/>
    <w:rsid w:val="00E441B6"/>
    <w:pPr>
      <w:jc w:val="both"/>
    </w:pPr>
    <w:rPr>
      <w:rFonts w:ascii="Calibri" w:eastAsia="宋体" w:hAnsi="Calibri" w:cs="Calibri"/>
      <w:szCs w:val="21"/>
    </w:rPr>
  </w:style>
  <w:style w:type="character" w:customStyle="1" w:styleId="10">
    <w:name w:val="标题 1 字符"/>
    <w:basedOn w:val="a0"/>
    <w:link w:val="1"/>
    <w:uiPriority w:val="9"/>
    <w:rsid w:val="00E441B6"/>
    <w:rPr>
      <w:rFonts w:ascii="Calibri" w:eastAsia="宋体" w:hAnsi="Calibri" w:cs="Times New Roman"/>
      <w:b/>
      <w:bCs/>
      <w:kern w:val="44"/>
      <w:sz w:val="44"/>
      <w:szCs w:val="44"/>
    </w:rPr>
  </w:style>
  <w:style w:type="character" w:customStyle="1" w:styleId="20">
    <w:name w:val="标题 2 字符"/>
    <w:basedOn w:val="a0"/>
    <w:link w:val="2"/>
    <w:uiPriority w:val="9"/>
    <w:rsid w:val="00521A0C"/>
    <w:rPr>
      <w:rFonts w:asciiTheme="majorHAnsi" w:eastAsiaTheme="majorEastAsia" w:hAnsiTheme="majorHAnsi" w:cstheme="majorBidi"/>
      <w:b/>
      <w:bCs/>
      <w:sz w:val="32"/>
      <w:szCs w:val="32"/>
    </w:rPr>
  </w:style>
  <w:style w:type="character" w:customStyle="1" w:styleId="30">
    <w:name w:val="标题 3 字符"/>
    <w:basedOn w:val="a0"/>
    <w:link w:val="3"/>
    <w:uiPriority w:val="9"/>
    <w:rsid w:val="007151AD"/>
    <w:rPr>
      <w:rFonts w:ascii="Calibri" w:eastAsia="宋体" w:hAnsi="Calibri" w:cs="Times New Roman"/>
      <w:b/>
      <w:bCs/>
      <w:sz w:val="32"/>
      <w:szCs w:val="32"/>
    </w:rPr>
  </w:style>
  <w:style w:type="paragraph" w:styleId="a4">
    <w:name w:val="List Paragraph"/>
    <w:basedOn w:val="a"/>
    <w:uiPriority w:val="34"/>
    <w:qFormat/>
    <w:rsid w:val="007151AD"/>
    <w:pPr>
      <w:ind w:firstLineChars="200" w:firstLine="420"/>
    </w:pPr>
  </w:style>
  <w:style w:type="paragraph" w:customStyle="1" w:styleId="msolistparagraph0">
    <w:name w:val="msolistparagraph"/>
    <w:basedOn w:val="a"/>
    <w:rsid w:val="007151AD"/>
    <w:pPr>
      <w:ind w:firstLineChars="200" w:firstLine="420"/>
    </w:pPr>
  </w:style>
  <w:style w:type="paragraph" w:styleId="a5">
    <w:name w:val="Body Text"/>
    <w:basedOn w:val="a"/>
    <w:link w:val="a6"/>
    <w:uiPriority w:val="99"/>
    <w:unhideWhenUsed/>
    <w:rsid w:val="007151AD"/>
    <w:pPr>
      <w:jc w:val="left"/>
    </w:pPr>
    <w:rPr>
      <w:rFonts w:ascii="Tw Cen MT" w:hAnsi="Tw Cen MT" w:cs="宋体"/>
      <w:kern w:val="0"/>
      <w:sz w:val="18"/>
      <w:szCs w:val="18"/>
    </w:rPr>
  </w:style>
  <w:style w:type="character" w:customStyle="1" w:styleId="a6">
    <w:name w:val="正文文本 字符"/>
    <w:basedOn w:val="a0"/>
    <w:link w:val="a5"/>
    <w:uiPriority w:val="99"/>
    <w:rsid w:val="007151AD"/>
    <w:rPr>
      <w:rFonts w:ascii="Tw Cen MT" w:eastAsia="宋体" w:hAnsi="Tw Cen MT" w:cs="宋体"/>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0434452">
      <w:bodyDiv w:val="1"/>
      <w:marLeft w:val="0"/>
      <w:marRight w:val="0"/>
      <w:marTop w:val="0"/>
      <w:marBottom w:val="0"/>
      <w:divBdr>
        <w:top w:val="none" w:sz="0" w:space="0" w:color="auto"/>
        <w:left w:val="none" w:sz="0" w:space="0" w:color="auto"/>
        <w:bottom w:val="none" w:sz="0" w:space="0" w:color="auto"/>
        <w:right w:val="none" w:sz="0" w:space="0" w:color="auto"/>
      </w:divBdr>
    </w:div>
    <w:div w:id="610086149">
      <w:bodyDiv w:val="1"/>
      <w:marLeft w:val="0"/>
      <w:marRight w:val="0"/>
      <w:marTop w:val="0"/>
      <w:marBottom w:val="0"/>
      <w:divBdr>
        <w:top w:val="none" w:sz="0" w:space="0" w:color="auto"/>
        <w:left w:val="none" w:sz="0" w:space="0" w:color="auto"/>
        <w:bottom w:val="none" w:sz="0" w:space="0" w:color="auto"/>
        <w:right w:val="none" w:sz="0" w:space="0" w:color="auto"/>
      </w:divBdr>
    </w:div>
    <w:div w:id="849225156">
      <w:bodyDiv w:val="1"/>
      <w:marLeft w:val="0"/>
      <w:marRight w:val="0"/>
      <w:marTop w:val="0"/>
      <w:marBottom w:val="0"/>
      <w:divBdr>
        <w:top w:val="none" w:sz="0" w:space="0" w:color="auto"/>
        <w:left w:val="none" w:sz="0" w:space="0" w:color="auto"/>
        <w:bottom w:val="none" w:sz="0" w:space="0" w:color="auto"/>
        <w:right w:val="none" w:sz="0" w:space="0" w:color="auto"/>
      </w:divBdr>
    </w:div>
    <w:div w:id="1290554193">
      <w:bodyDiv w:val="1"/>
      <w:marLeft w:val="0"/>
      <w:marRight w:val="0"/>
      <w:marTop w:val="0"/>
      <w:marBottom w:val="0"/>
      <w:divBdr>
        <w:top w:val="none" w:sz="0" w:space="0" w:color="auto"/>
        <w:left w:val="none" w:sz="0" w:space="0" w:color="auto"/>
        <w:bottom w:val="none" w:sz="0" w:space="0" w:color="auto"/>
        <w:right w:val="none" w:sz="0" w:space="0" w:color="auto"/>
      </w:divBdr>
    </w:div>
    <w:div w:id="1461805053">
      <w:bodyDiv w:val="1"/>
      <w:marLeft w:val="0"/>
      <w:marRight w:val="0"/>
      <w:marTop w:val="0"/>
      <w:marBottom w:val="0"/>
      <w:divBdr>
        <w:top w:val="none" w:sz="0" w:space="0" w:color="auto"/>
        <w:left w:val="none" w:sz="0" w:space="0" w:color="auto"/>
        <w:bottom w:val="none" w:sz="0" w:space="0" w:color="auto"/>
        <w:right w:val="none" w:sz="0" w:space="0" w:color="auto"/>
      </w:divBdr>
    </w:div>
    <w:div w:id="1508595645">
      <w:bodyDiv w:val="1"/>
      <w:marLeft w:val="0"/>
      <w:marRight w:val="0"/>
      <w:marTop w:val="0"/>
      <w:marBottom w:val="0"/>
      <w:divBdr>
        <w:top w:val="none" w:sz="0" w:space="0" w:color="auto"/>
        <w:left w:val="none" w:sz="0" w:space="0" w:color="auto"/>
        <w:bottom w:val="none" w:sz="0" w:space="0" w:color="auto"/>
        <w:right w:val="none" w:sz="0" w:space="0" w:color="auto"/>
      </w:divBdr>
    </w:div>
    <w:div w:id="1642152286">
      <w:bodyDiv w:val="1"/>
      <w:marLeft w:val="0"/>
      <w:marRight w:val="0"/>
      <w:marTop w:val="0"/>
      <w:marBottom w:val="0"/>
      <w:divBdr>
        <w:top w:val="none" w:sz="0" w:space="0" w:color="auto"/>
        <w:left w:val="none" w:sz="0" w:space="0" w:color="auto"/>
        <w:bottom w:val="none" w:sz="0" w:space="0" w:color="auto"/>
        <w:right w:val="none" w:sz="0" w:space="0" w:color="auto"/>
      </w:divBdr>
    </w:div>
    <w:div w:id="1761098912">
      <w:bodyDiv w:val="1"/>
      <w:marLeft w:val="0"/>
      <w:marRight w:val="0"/>
      <w:marTop w:val="0"/>
      <w:marBottom w:val="0"/>
      <w:divBdr>
        <w:top w:val="none" w:sz="0" w:space="0" w:color="auto"/>
        <w:left w:val="none" w:sz="0" w:space="0" w:color="auto"/>
        <w:bottom w:val="none" w:sz="0" w:space="0" w:color="auto"/>
        <w:right w:val="none" w:sz="0" w:space="0" w:color="auto"/>
      </w:divBdr>
    </w:div>
    <w:div w:id="1818111947">
      <w:bodyDiv w:val="1"/>
      <w:marLeft w:val="0"/>
      <w:marRight w:val="0"/>
      <w:marTop w:val="0"/>
      <w:marBottom w:val="0"/>
      <w:divBdr>
        <w:top w:val="none" w:sz="0" w:space="0" w:color="auto"/>
        <w:left w:val="none" w:sz="0" w:space="0" w:color="auto"/>
        <w:bottom w:val="none" w:sz="0" w:space="0" w:color="auto"/>
        <w:right w:val="none" w:sz="0" w:space="0" w:color="auto"/>
      </w:divBdr>
    </w:div>
    <w:div w:id="20670718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672</TotalTime>
  <Pages>1</Pages>
  <Words>478</Words>
  <Characters>2729</Characters>
  <Application>Microsoft Office Word</Application>
  <DocSecurity>0</DocSecurity>
  <Lines>22</Lines>
  <Paragraphs>6</Paragraphs>
  <ScaleCrop>false</ScaleCrop>
  <Company/>
  <LinksUpToDate>false</LinksUpToDate>
  <CharactersWithSpaces>3201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yue wenchang</dc:creator>
  <cp:keywords/>
  <dc:description/>
  <cp:lastModifiedBy>yue wenchang</cp:lastModifiedBy>
  <cp:revision>2</cp:revision>
  <dcterms:created xsi:type="dcterms:W3CDTF">2022-08-20T06:01:00Z</dcterms:created>
  <dcterms:modified xsi:type="dcterms:W3CDTF">2022-08-21T12:40:00Z</dcterms:modified>
</cp:coreProperties>
</file>