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35DF1" w:rsidRDefault="00B35DF1" w:rsidP="00494130">
      <w:pPr>
        <w:pStyle w:val="Titre1"/>
        <w:spacing w:before="170"/>
        <w:ind w:left="0"/>
        <w:rPr>
          <w:rStyle w:val="fontstyle01"/>
        </w:rPr>
      </w:pPr>
      <w:r>
        <w:rPr>
          <w:rStyle w:val="fontstyle01"/>
        </w:rPr>
        <w:t>Chemical Composition, Antioxidant Potentials, and Calcium</w:t>
      </w:r>
      <w:r>
        <w:rPr>
          <w:rFonts w:ascii="URWPalladioL-Bold" w:hAnsi="URWPalladioL-Bold"/>
          <w:b w:val="0"/>
          <w:bCs w:val="0"/>
          <w:color w:val="000000"/>
        </w:rPr>
        <w:br/>
      </w:r>
      <w:r>
        <w:rPr>
          <w:rStyle w:val="fontstyle01"/>
        </w:rPr>
        <w:t>Oxalate Anticrystallization Activity of Polyphenol and Saponin</w:t>
      </w:r>
      <w:r>
        <w:rPr>
          <w:rFonts w:ascii="URWPalladioL-Bold" w:hAnsi="URWPalladioL-Bold"/>
          <w:b w:val="0"/>
          <w:bCs w:val="0"/>
          <w:color w:val="000000"/>
        </w:rPr>
        <w:br/>
      </w:r>
      <w:r>
        <w:rPr>
          <w:rStyle w:val="fontstyle01"/>
        </w:rPr>
        <w:t xml:space="preserve">Fractions from </w:t>
      </w:r>
      <w:r>
        <w:rPr>
          <w:rStyle w:val="fontstyle21"/>
        </w:rPr>
        <w:t xml:space="preserve">Argania spinosa </w:t>
      </w:r>
      <w:r>
        <w:rPr>
          <w:rStyle w:val="fontstyle01"/>
        </w:rPr>
        <w:t>L. Press Cake</w:t>
      </w:r>
    </w:p>
    <w:p w:rsidR="00B35DF1" w:rsidRPr="00B35DF1" w:rsidRDefault="00B35DF1" w:rsidP="00494130">
      <w:pPr>
        <w:pStyle w:val="Titre1"/>
        <w:spacing w:before="170"/>
        <w:ind w:left="0"/>
        <w:rPr>
          <w:color w:val="337AB7"/>
          <w:sz w:val="24"/>
          <w:szCs w:val="24"/>
        </w:rPr>
      </w:pPr>
      <w:r w:rsidRPr="00B35DF1">
        <w:rPr>
          <w:sz w:val="24"/>
          <w:szCs w:val="24"/>
        </w:rPr>
        <w:t>Fatima Ezzahra El oumari ¹</w:t>
      </w:r>
      <w:r w:rsidRPr="00B35DF1">
        <w:rPr>
          <w:sz w:val="24"/>
          <w:szCs w:val="24"/>
          <w:vertAlign w:val="superscript"/>
        </w:rPr>
        <w:t>,</w:t>
      </w:r>
      <w:r w:rsidRPr="00B35DF1">
        <w:rPr>
          <w:sz w:val="24"/>
          <w:szCs w:val="24"/>
        </w:rPr>
        <w:t xml:space="preserve">*, Naima Mammate ¹,Andriy Grafov </w:t>
      </w:r>
      <w:r>
        <w:rPr>
          <w:sz w:val="24"/>
          <w:szCs w:val="24"/>
          <w:vertAlign w:val="superscript"/>
        </w:rPr>
        <w:t>2</w:t>
      </w:r>
      <w:r w:rsidRPr="00B35DF1">
        <w:rPr>
          <w:sz w:val="24"/>
          <w:szCs w:val="24"/>
        </w:rPr>
        <w:t xml:space="preserve">, Dalila Bousta </w:t>
      </w:r>
      <w:r>
        <w:rPr>
          <w:sz w:val="24"/>
          <w:szCs w:val="24"/>
          <w:vertAlign w:val="superscript"/>
        </w:rPr>
        <w:t>3</w:t>
      </w:r>
      <w:r w:rsidRPr="00B35DF1">
        <w:rPr>
          <w:sz w:val="24"/>
          <w:szCs w:val="24"/>
        </w:rPr>
        <w:t>, Tarik Sqalli Houssaini ¹</w:t>
      </w:r>
      <w:r w:rsidRPr="00B35DF1">
        <w:rPr>
          <w:sz w:val="24"/>
          <w:szCs w:val="24"/>
          <w:vertAlign w:val="superscript"/>
        </w:rPr>
        <w:t>,</w:t>
      </w:r>
    </w:p>
    <w:p w:rsidR="00B35DF1" w:rsidRPr="00424F40" w:rsidRDefault="00B35DF1" w:rsidP="00B35DF1">
      <w:pPr>
        <w:pStyle w:val="MDPI17abstract"/>
        <w:spacing w:before="0"/>
        <w:ind w:left="0"/>
        <w:rPr>
          <w:b/>
          <w:bCs/>
          <w:szCs w:val="18"/>
        </w:rPr>
      </w:pPr>
      <w:r w:rsidRPr="00424F40">
        <w:rPr>
          <w:b/>
          <w:bCs/>
          <w:szCs w:val="18"/>
          <w:vertAlign w:val="superscript"/>
        </w:rPr>
        <w:t>1</w:t>
      </w:r>
      <w:r w:rsidRPr="00424F40">
        <w:rPr>
          <w:b/>
          <w:bCs/>
          <w:szCs w:val="18"/>
        </w:rPr>
        <w:t xml:space="preserve"> Laboratory of Epidemiology and Research in Health Sciences, University Sidi Mohammed Ben Abdellah, Faculty of Medicine and Pharmacy, Fez, Morocco;</w:t>
      </w:r>
    </w:p>
    <w:p w:rsidR="00424F40" w:rsidRPr="00424F40" w:rsidRDefault="00B35DF1" w:rsidP="00424F40">
      <w:pPr>
        <w:rPr>
          <w:rFonts w:ascii="Palatino Linotype" w:hAnsi="Palatino Linotype"/>
          <w:b/>
          <w:bCs/>
          <w:sz w:val="18"/>
          <w:szCs w:val="18"/>
        </w:rPr>
      </w:pPr>
      <w:r w:rsidRPr="00424F40">
        <w:rPr>
          <w:rFonts w:ascii="Palatino Linotype" w:hAnsi="Palatino Linotype"/>
          <w:b/>
          <w:bCs/>
          <w:sz w:val="18"/>
          <w:szCs w:val="18"/>
          <w:vertAlign w:val="superscript"/>
        </w:rPr>
        <w:t xml:space="preserve">2 </w:t>
      </w:r>
      <w:r w:rsidRPr="00424F40">
        <w:rPr>
          <w:rFonts w:ascii="Palatino Linotype" w:hAnsi="Palatino Linotype"/>
          <w:b/>
          <w:bCs/>
          <w:sz w:val="18"/>
          <w:szCs w:val="18"/>
        </w:rPr>
        <w:t xml:space="preserve"> Department of Chemistry, University of Helsinki, P.O. Box 55, FI-00014 Helsinki, Finland</w:t>
      </w:r>
      <w:r w:rsidR="00424F40" w:rsidRPr="00424F40">
        <w:rPr>
          <w:rFonts w:ascii="Palatino Linotype" w:hAnsi="Palatino Linotype"/>
          <w:b/>
          <w:bCs/>
          <w:sz w:val="18"/>
          <w:szCs w:val="18"/>
        </w:rPr>
        <w:t>;</w:t>
      </w:r>
    </w:p>
    <w:p w:rsidR="00424F40" w:rsidRPr="00424F40" w:rsidRDefault="00424F40" w:rsidP="00424F40">
      <w:pPr>
        <w:rPr>
          <w:rFonts w:ascii="Palatino Linotype" w:hAnsi="Palatino Linotype"/>
          <w:b/>
          <w:bCs/>
          <w:sz w:val="18"/>
          <w:szCs w:val="18"/>
          <w:vertAlign w:val="superscript"/>
        </w:rPr>
      </w:pPr>
      <w:r w:rsidRPr="00424F40">
        <w:rPr>
          <w:rFonts w:ascii="Palatino Linotype" w:hAnsi="Palatino Linotype"/>
          <w:b/>
          <w:bCs/>
          <w:sz w:val="18"/>
          <w:szCs w:val="18"/>
          <w:vertAlign w:val="superscript"/>
        </w:rPr>
        <w:t xml:space="preserve">3 </w:t>
      </w:r>
      <w:r w:rsidRPr="00424F40">
        <w:rPr>
          <w:rFonts w:ascii="Palatino Linotype" w:hAnsi="Palatino Linotype"/>
          <w:b/>
          <w:bCs/>
          <w:sz w:val="18"/>
          <w:szCs w:val="18"/>
        </w:rPr>
        <w:t>Morocco Laboratory of Biotechnology, Environment, Agri-Food, and Health (LBEAS), Faculty of Sciences,</w:t>
      </w:r>
      <w:r w:rsidRPr="00424F40">
        <w:rPr>
          <w:rFonts w:ascii="Palatino Linotype" w:hAnsi="Palatino Linotype"/>
          <w:b/>
          <w:bCs/>
          <w:szCs w:val="18"/>
        </w:rPr>
        <w:t xml:space="preserve"> </w:t>
      </w:r>
      <w:r w:rsidRPr="00424F40">
        <w:rPr>
          <w:rFonts w:ascii="Palatino Linotype" w:hAnsi="Palatino Linotype"/>
          <w:b/>
          <w:bCs/>
          <w:sz w:val="18"/>
          <w:szCs w:val="18"/>
        </w:rPr>
        <w:t>Morocco;</w:t>
      </w:r>
    </w:p>
    <w:p w:rsidR="00AE3E37" w:rsidRDefault="00AE3E37">
      <w:pPr>
        <w:pStyle w:val="Corpsdetexte"/>
        <w:rPr>
          <w:rFonts w:ascii="Arial"/>
          <w:sz w:val="20"/>
        </w:rPr>
      </w:pPr>
    </w:p>
    <w:p w:rsidR="00AE3E37" w:rsidRDefault="00AE3E37">
      <w:pPr>
        <w:pStyle w:val="Corpsdetexte"/>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Titre3"/>
        <w:spacing w:before="147"/>
        <w:jc w:val="both"/>
      </w:pPr>
      <w:r>
        <w:rPr>
          <w:color w:val="BF5A14"/>
        </w:rPr>
        <w:lastRenderedPageBreak/>
        <w:t>Abstract</w:t>
      </w:r>
      <w:r w:rsidR="00404E5B">
        <w:rPr>
          <w:color w:val="BF5A14"/>
        </w:rPr>
        <w:t xml:space="preserve"> (300 word limit)</w:t>
      </w:r>
    </w:p>
    <w:p w:rsidR="00424F40" w:rsidRDefault="00424F40" w:rsidP="00424F40">
      <w:pPr>
        <w:pStyle w:val="Titre3"/>
        <w:spacing w:before="74"/>
        <w:jc w:val="both"/>
        <w:rPr>
          <w:szCs w:val="18"/>
        </w:rPr>
      </w:pPr>
      <w:r w:rsidRPr="00424F40">
        <w:rPr>
          <w:rFonts w:ascii="Minion Pro" w:hAnsi="Minion Pro"/>
          <w:b w:val="0"/>
          <w:i/>
          <w:iCs/>
          <w:sz w:val="24"/>
          <w:szCs w:val="24"/>
        </w:rPr>
        <w:t>Argania Spinosa</w:t>
      </w:r>
      <w:r w:rsidRPr="00424F40">
        <w:rPr>
          <w:rFonts w:ascii="Minion Pro" w:hAnsi="Minion Pro"/>
          <w:b w:val="0"/>
          <w:sz w:val="24"/>
          <w:szCs w:val="24"/>
        </w:rPr>
        <w:t xml:space="preserve"> (L.) press Cake possesses a wide range of biological activities, as well as a powerful therapeutic and preventive effect against chronic diseases. The goal of this study is to valorize the anti-crystallization properties against calcium oxalate crystals of </w:t>
      </w:r>
      <w:r w:rsidRPr="00424F40">
        <w:rPr>
          <w:rFonts w:ascii="Minion Pro" w:hAnsi="Minion Pro"/>
          <w:b w:val="0"/>
          <w:i/>
          <w:iCs/>
          <w:sz w:val="24"/>
          <w:szCs w:val="24"/>
        </w:rPr>
        <w:t>Argania Spinosa</w:t>
      </w:r>
      <w:r w:rsidRPr="00424F40">
        <w:rPr>
          <w:rFonts w:ascii="Minion Pro" w:hAnsi="Minion Pro"/>
          <w:b w:val="0"/>
          <w:sz w:val="24"/>
          <w:szCs w:val="24"/>
        </w:rPr>
        <w:t xml:space="preserve"> (L.) press Cake fractions as well as identifying its bioactive components. Chemical species identification was done using GC-MS analysis. The turbidimetric model was used to investigate crystallization inhibition in vitro. Fourier Transform Infrared Spectroscopy were used to characterize the synthesized crystals. Furthermore, both DPPH and FRAP methods were used to assess antioxidant activity. The results show that the fractions are equally important in the inhibition percentages of calcium oxalate crystallization. For the saponin and polyphenol fractions, the inhibition percentages are in the order of 83.49 % and 82.83% respectively. The results of the antioxidant activity by DPPH method show that the two fractions are equally important in the elimination of free radicals; the inhibition percentages were 77.87±4.21 and 89.92±1.39 for both polyphenols and saponins, respectively. FRAP method showed that the absorbance increases correlatively as a function of the concentration and the values are almost similar for both fractions and reaches maximum values in the order of 0.52±0.07 and 0.42±0.03 respectively for saponins and polyphenols. These findings demonstrate that both fractions are rich in bioactive chemicals and have an anti-crystallization capacity, allowing them to be employed in the treatment and/or prevention of </w:t>
      </w:r>
      <w:r w:rsidRPr="00424F40">
        <w:rPr>
          <w:rFonts w:ascii="Minion Pro" w:hAnsi="Minion Pro"/>
          <w:b w:val="0"/>
          <w:sz w:val="24"/>
          <w:szCs w:val="24"/>
        </w:rPr>
        <w:lastRenderedPageBreak/>
        <w:t>stone formation.</w:t>
      </w:r>
      <w:r w:rsidRPr="00BA4FC2">
        <w:rPr>
          <w:szCs w:val="18"/>
        </w:rPr>
        <w:t xml:space="preserve"> </w:t>
      </w:r>
    </w:p>
    <w:p w:rsidR="00AE3E37" w:rsidRDefault="00A9710C" w:rsidP="00424F40">
      <w:pPr>
        <w:pStyle w:val="Titre3"/>
        <w:spacing w:before="74"/>
        <w:jc w:val="both"/>
      </w:pPr>
      <w:r>
        <w:rPr>
          <w:color w:val="BF5A14"/>
        </w:rPr>
        <w:t>Image</w:t>
      </w:r>
    </w:p>
    <w:p w:rsidR="00AE3E37" w:rsidRDefault="00783275">
      <w:pPr>
        <w:pStyle w:val="Corpsdetexte"/>
        <w:spacing w:before="2"/>
        <w:rPr>
          <w:rFonts w:ascii="Arial"/>
          <w:b/>
          <w:sz w:val="16"/>
        </w:rPr>
      </w:pPr>
      <w:r>
        <w:rPr>
          <w:rFonts w:ascii="Arial"/>
          <w:b/>
          <w:noProof/>
          <w:sz w:val="16"/>
          <w:lang w:val="fr-FR" w:eastAsia="fr-FR"/>
        </w:rPr>
        <w:drawing>
          <wp:inline distT="0" distB="0" distL="0" distR="0">
            <wp:extent cx="3165475" cy="1400175"/>
            <wp:effectExtent l="0" t="0" r="0" b="9525"/>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bstract congess image.jpg"/>
                    <pic:cNvPicPr/>
                  </pic:nvPicPr>
                  <pic:blipFill rotWithShape="1">
                    <a:blip r:embed="rId9" cstate="print">
                      <a:extLst>
                        <a:ext uri="{28A0092B-C50C-407E-A947-70E740481C1C}">
                          <a14:useLocalDpi xmlns:a14="http://schemas.microsoft.com/office/drawing/2010/main" val="0"/>
                        </a:ext>
                      </a:extLst>
                    </a:blip>
                    <a:srcRect l="2428" t="7488" r="-2428" b="13872"/>
                    <a:stretch/>
                  </pic:blipFill>
                  <pic:spPr bwMode="auto">
                    <a:xfrm>
                      <a:off x="0" y="0"/>
                      <a:ext cx="3165475" cy="1400175"/>
                    </a:xfrm>
                    <a:prstGeom prst="rect">
                      <a:avLst/>
                    </a:prstGeom>
                    <a:ln>
                      <a:noFill/>
                    </a:ln>
                    <a:extLst>
                      <a:ext uri="{53640926-AAD7-44D8-BBD7-CCE9431645EC}">
                        <a14:shadowObscured xmlns:a14="http://schemas.microsoft.com/office/drawing/2010/main"/>
                      </a:ext>
                    </a:extLst>
                  </pic:spPr>
                </pic:pic>
              </a:graphicData>
            </a:graphic>
          </wp:inline>
        </w:drawing>
      </w:r>
    </w:p>
    <w:p w:rsidR="005973B9" w:rsidRDefault="005973B9" w:rsidP="005973B9">
      <w:pPr>
        <w:spacing w:line="204" w:lineRule="exact"/>
        <w:rPr>
          <w:rFonts w:ascii="Arial"/>
          <w:b/>
          <w:sz w:val="20"/>
        </w:rPr>
      </w:pPr>
      <w:r>
        <w:rPr>
          <w:rFonts w:ascii="Arial"/>
          <w:b/>
          <w:color w:val="BF5A14"/>
          <w:sz w:val="20"/>
        </w:rPr>
        <w:br/>
        <w:t>Recent Publications (minimum 5)</w:t>
      </w:r>
    </w:p>
    <w:p w:rsidR="00783275" w:rsidRPr="0041208D" w:rsidRDefault="00783275" w:rsidP="00902E12">
      <w:pPr>
        <w:pStyle w:val="Paragraphedeliste"/>
        <w:numPr>
          <w:ilvl w:val="0"/>
          <w:numId w:val="3"/>
        </w:numPr>
        <w:tabs>
          <w:tab w:val="left" w:pos="384"/>
        </w:tabs>
        <w:spacing w:line="216" w:lineRule="exact"/>
        <w:ind w:right="137" w:hanging="283"/>
        <w:rPr>
          <w:rFonts w:ascii="Times New Roman" w:hAnsi="Times New Roman" w:cs="Times New Roman"/>
          <w:sz w:val="18"/>
        </w:rPr>
      </w:pPr>
      <w:r w:rsidRPr="0041208D">
        <w:rPr>
          <w:rFonts w:ascii="Times New Roman" w:eastAsia="Tw Cen MT" w:hAnsi="Times New Roman" w:cs="Times New Roman"/>
          <w:color w:val="FF0000"/>
          <w:sz w:val="18"/>
          <w:szCs w:val="18"/>
          <w:u w:val="single"/>
        </w:rPr>
        <w:t>El oumari, F.E</w:t>
      </w:r>
      <w:r w:rsidRPr="0041208D">
        <w:rPr>
          <w:rFonts w:ascii="Times New Roman" w:eastAsia="Tw Cen MT" w:hAnsi="Times New Roman" w:cs="Times New Roman"/>
          <w:color w:val="000000"/>
          <w:sz w:val="18"/>
          <w:szCs w:val="18"/>
        </w:rPr>
        <w:t>.; Bousta, D.; Grafov, A.; Sqalli Houssaini, T. Phytomolecules Investigated for the Prevention and Treatment of</w:t>
      </w:r>
      <w:r w:rsidRPr="0041208D">
        <w:rPr>
          <w:rFonts w:ascii="Times New Roman" w:eastAsia="Tw Cen MT" w:hAnsi="Times New Roman" w:cs="Times New Roman"/>
          <w:color w:val="000000"/>
          <w:sz w:val="18"/>
          <w:szCs w:val="18"/>
        </w:rPr>
        <w:br/>
        <w:t xml:space="preserve">Urinary Stones. </w:t>
      </w:r>
      <w:r w:rsidRPr="0041208D">
        <w:rPr>
          <w:rFonts w:ascii="Times New Roman" w:eastAsia="Tw Cen MT" w:hAnsi="Times New Roman" w:cs="Times New Roman"/>
          <w:i/>
          <w:iCs/>
          <w:color w:val="000000"/>
          <w:sz w:val="18"/>
          <w:szCs w:val="18"/>
        </w:rPr>
        <w:t xml:space="preserve">Mediterr. J. Chem. </w:t>
      </w:r>
      <w:r w:rsidRPr="0041208D">
        <w:rPr>
          <w:rFonts w:ascii="Times New Roman" w:eastAsia="Tw Cen MT" w:hAnsi="Times New Roman" w:cs="Times New Roman"/>
          <w:b/>
          <w:bCs/>
          <w:color w:val="000000"/>
          <w:sz w:val="18"/>
          <w:szCs w:val="18"/>
        </w:rPr>
        <w:t>2021</w:t>
      </w:r>
      <w:r w:rsidRPr="0041208D">
        <w:rPr>
          <w:rFonts w:ascii="Times New Roman" w:eastAsia="Tw Cen MT" w:hAnsi="Times New Roman" w:cs="Times New Roman"/>
          <w:color w:val="000000"/>
          <w:sz w:val="18"/>
          <w:szCs w:val="18"/>
        </w:rPr>
        <w:t xml:space="preserve">, </w:t>
      </w:r>
      <w:r w:rsidRPr="0041208D">
        <w:rPr>
          <w:rFonts w:ascii="Times New Roman" w:eastAsia="Tw Cen MT" w:hAnsi="Times New Roman" w:cs="Times New Roman"/>
          <w:i/>
          <w:iCs/>
          <w:color w:val="000000"/>
          <w:sz w:val="18"/>
          <w:szCs w:val="18"/>
        </w:rPr>
        <w:t>11</w:t>
      </w:r>
      <w:r w:rsidRPr="0041208D">
        <w:rPr>
          <w:rFonts w:ascii="Times New Roman" w:eastAsia="Tw Cen MT" w:hAnsi="Times New Roman" w:cs="Times New Roman"/>
          <w:color w:val="000000"/>
          <w:sz w:val="18"/>
          <w:szCs w:val="18"/>
        </w:rPr>
        <w:t>, 126.</w:t>
      </w:r>
    </w:p>
    <w:p w:rsidR="00902E12" w:rsidRPr="0041208D" w:rsidRDefault="00783275" w:rsidP="00902E12">
      <w:pPr>
        <w:pStyle w:val="Paragraphedeliste"/>
        <w:numPr>
          <w:ilvl w:val="0"/>
          <w:numId w:val="3"/>
        </w:numPr>
        <w:tabs>
          <w:tab w:val="left" w:pos="384"/>
        </w:tabs>
        <w:spacing w:line="216" w:lineRule="exact"/>
        <w:ind w:right="138"/>
        <w:rPr>
          <w:rFonts w:ascii="Times New Roman" w:hAnsi="Times New Roman" w:cs="Times New Roman"/>
          <w:sz w:val="18"/>
        </w:rPr>
      </w:pPr>
      <w:r w:rsidRPr="0041208D">
        <w:rPr>
          <w:rFonts w:ascii="Times New Roman" w:hAnsi="Times New Roman" w:cs="Times New Roman"/>
          <w:sz w:val="18"/>
        </w:rPr>
        <w:t xml:space="preserve">MOHIM, Mohamed &amp; </w:t>
      </w:r>
      <w:r w:rsidRPr="0041208D">
        <w:rPr>
          <w:rFonts w:ascii="Times New Roman" w:hAnsi="Times New Roman" w:cs="Times New Roman"/>
          <w:color w:val="FF0000"/>
          <w:sz w:val="18"/>
          <w:u w:val="single"/>
        </w:rPr>
        <w:t>El Oumari, Fatima</w:t>
      </w:r>
      <w:r w:rsidRPr="0041208D">
        <w:rPr>
          <w:rFonts w:ascii="Times New Roman" w:hAnsi="Times New Roman" w:cs="Times New Roman"/>
          <w:color w:val="FF0000"/>
          <w:sz w:val="18"/>
        </w:rPr>
        <w:t xml:space="preserve"> </w:t>
      </w:r>
      <w:r w:rsidRPr="0041208D">
        <w:rPr>
          <w:rFonts w:ascii="Times New Roman" w:hAnsi="Times New Roman" w:cs="Times New Roman"/>
          <w:sz w:val="18"/>
        </w:rPr>
        <w:t>&amp; Kachkoul, Rabie &amp; Elhabbani, R &amp; Allata, Y &amp; Chouhani, B &amp; Bardai, G. &amp; Kabbali, Nadia &amp; Souilmi, Fatima-zohra &amp; Houssaini, Tarik &amp; Mohamed@usmba, Mohim &amp; Ma,. (2021). La cristallurie dans la maladie lithiasique.</w:t>
      </w:r>
    </w:p>
    <w:p w:rsidR="00902E12" w:rsidRPr="0041208D" w:rsidRDefault="00902E12" w:rsidP="00902E12">
      <w:pPr>
        <w:pStyle w:val="Paragraphedeliste"/>
        <w:numPr>
          <w:ilvl w:val="0"/>
          <w:numId w:val="3"/>
        </w:numPr>
        <w:tabs>
          <w:tab w:val="left" w:pos="384"/>
        </w:tabs>
        <w:spacing w:line="216" w:lineRule="exact"/>
        <w:ind w:right="138"/>
        <w:rPr>
          <w:rFonts w:ascii="Times New Roman" w:hAnsi="Times New Roman" w:cs="Times New Roman"/>
          <w:sz w:val="18"/>
        </w:rPr>
      </w:pPr>
      <w:r w:rsidRPr="0041208D">
        <w:rPr>
          <w:rFonts w:ascii="Times New Roman" w:eastAsia="Tw Cen MT" w:hAnsi="Times New Roman" w:cs="Times New Roman"/>
          <w:color w:val="FF0000"/>
          <w:sz w:val="18"/>
          <w:szCs w:val="18"/>
          <w:u w:val="single"/>
        </w:rPr>
        <w:t>El oumari, F.E</w:t>
      </w:r>
      <w:r w:rsidRPr="0041208D">
        <w:rPr>
          <w:rFonts w:ascii="Times New Roman" w:eastAsia="Tw Cen MT" w:hAnsi="Times New Roman" w:cs="Times New Roman"/>
          <w:color w:val="FF0000"/>
          <w:sz w:val="18"/>
          <w:szCs w:val="18"/>
        </w:rPr>
        <w:t xml:space="preserve">.; </w:t>
      </w:r>
      <w:r w:rsidRPr="0041208D">
        <w:rPr>
          <w:rFonts w:ascii="Times New Roman" w:eastAsia="Tw Cen MT" w:hAnsi="Times New Roman" w:cs="Times New Roman"/>
          <w:color w:val="000000"/>
          <w:sz w:val="18"/>
          <w:szCs w:val="18"/>
        </w:rPr>
        <w:t>Bousta, D.; Imtara, H.; Lahrichi, A.; Elhabbani, R.; El mouhri, G.; Al kamaly, O.; Saleh, A.; Parvez, M.K.;</w:t>
      </w:r>
      <w:r w:rsidRPr="0041208D">
        <w:rPr>
          <w:rFonts w:ascii="Times New Roman" w:eastAsia="Tw Cen MT" w:hAnsi="Times New Roman" w:cs="Times New Roman"/>
          <w:color w:val="000000"/>
          <w:sz w:val="18"/>
          <w:szCs w:val="18"/>
        </w:rPr>
        <w:br/>
        <w:t xml:space="preserve">Grafov, A.; et al. Chemical Composition and Anti-Urolithiatic Activity of Extracts from </w:t>
      </w:r>
      <w:r w:rsidRPr="0041208D">
        <w:rPr>
          <w:rFonts w:ascii="Times New Roman" w:eastAsia="Tw Cen MT" w:hAnsi="Times New Roman" w:cs="Times New Roman"/>
          <w:i/>
          <w:iCs/>
          <w:color w:val="000000"/>
          <w:sz w:val="18"/>
          <w:szCs w:val="18"/>
        </w:rPr>
        <w:t xml:space="preserve">Argania spinosa </w:t>
      </w:r>
      <w:r w:rsidRPr="0041208D">
        <w:rPr>
          <w:rFonts w:ascii="Times New Roman" w:eastAsia="Tw Cen MT" w:hAnsi="Times New Roman" w:cs="Times New Roman"/>
          <w:color w:val="000000"/>
          <w:sz w:val="18"/>
          <w:szCs w:val="18"/>
        </w:rPr>
        <w:t xml:space="preserve">(L.) Skeels Press-Cake and </w:t>
      </w:r>
      <w:r w:rsidRPr="0041208D">
        <w:rPr>
          <w:rFonts w:ascii="Times New Roman" w:eastAsia="Tw Cen MT" w:hAnsi="Times New Roman" w:cs="Times New Roman"/>
          <w:i/>
          <w:iCs/>
          <w:color w:val="000000"/>
          <w:sz w:val="18"/>
          <w:szCs w:val="18"/>
        </w:rPr>
        <w:t xml:space="preserve">Acacia senegal </w:t>
      </w:r>
      <w:r w:rsidRPr="0041208D">
        <w:rPr>
          <w:rFonts w:ascii="Times New Roman" w:eastAsia="Tw Cen MT" w:hAnsi="Times New Roman" w:cs="Times New Roman"/>
          <w:color w:val="000000"/>
          <w:sz w:val="18"/>
          <w:szCs w:val="18"/>
        </w:rPr>
        <w:t xml:space="preserve">(L.) Willd. </w:t>
      </w:r>
      <w:r w:rsidRPr="0041208D">
        <w:rPr>
          <w:rFonts w:ascii="Times New Roman" w:eastAsia="Tw Cen MT" w:hAnsi="Times New Roman" w:cs="Times New Roman"/>
          <w:i/>
          <w:iCs/>
          <w:color w:val="000000"/>
          <w:sz w:val="18"/>
          <w:szCs w:val="18"/>
        </w:rPr>
        <w:t xml:space="preserve">Molecules </w:t>
      </w:r>
      <w:r w:rsidRPr="0041208D">
        <w:rPr>
          <w:rFonts w:ascii="Times New Roman" w:eastAsia="Tw Cen MT" w:hAnsi="Times New Roman" w:cs="Times New Roman"/>
          <w:b/>
          <w:bCs/>
          <w:color w:val="000000"/>
          <w:sz w:val="18"/>
          <w:szCs w:val="18"/>
        </w:rPr>
        <w:t>2022</w:t>
      </w:r>
      <w:r w:rsidRPr="0041208D">
        <w:rPr>
          <w:rFonts w:ascii="Times New Roman" w:eastAsia="Tw Cen MT" w:hAnsi="Times New Roman" w:cs="Times New Roman"/>
          <w:color w:val="000000"/>
          <w:sz w:val="18"/>
          <w:szCs w:val="18"/>
        </w:rPr>
        <w:t xml:space="preserve">, </w:t>
      </w:r>
      <w:r w:rsidRPr="0041208D">
        <w:rPr>
          <w:rFonts w:ascii="Times New Roman" w:eastAsia="Tw Cen MT" w:hAnsi="Times New Roman" w:cs="Times New Roman"/>
          <w:i/>
          <w:iCs/>
          <w:color w:val="000000"/>
          <w:sz w:val="18"/>
          <w:szCs w:val="18"/>
        </w:rPr>
        <w:t>27</w:t>
      </w:r>
      <w:r w:rsidRPr="0041208D">
        <w:rPr>
          <w:rFonts w:ascii="Times New Roman" w:eastAsia="Tw Cen MT" w:hAnsi="Times New Roman" w:cs="Times New Roman"/>
          <w:color w:val="000000"/>
          <w:sz w:val="18"/>
          <w:szCs w:val="18"/>
        </w:rPr>
        <w:t>, 3973</w:t>
      </w:r>
      <w:r w:rsidRPr="0041208D">
        <w:rPr>
          <w:rFonts w:ascii="Times New Roman" w:eastAsia="Tw Cen MT" w:hAnsi="Times New Roman" w:cs="Times New Roman"/>
        </w:rPr>
        <w:t xml:space="preserve"> </w:t>
      </w:r>
      <w:r w:rsidRPr="0041208D">
        <w:rPr>
          <w:rFonts w:ascii="Times New Roman" w:hAnsi="Times New Roman" w:cs="Times New Roman"/>
          <w:sz w:val="18"/>
        </w:rPr>
        <w:t>Room R, Babor</w:t>
      </w:r>
      <w:r w:rsidRPr="0041208D">
        <w:rPr>
          <w:rFonts w:ascii="Times New Roman" w:hAnsi="Times New Roman" w:cs="Times New Roman"/>
          <w:spacing w:val="-10"/>
          <w:sz w:val="18"/>
        </w:rPr>
        <w:t xml:space="preserve">T, </w:t>
      </w:r>
      <w:r w:rsidRPr="0041208D">
        <w:rPr>
          <w:rFonts w:ascii="Times New Roman" w:hAnsi="Times New Roman" w:cs="Times New Roman"/>
          <w:sz w:val="18"/>
        </w:rPr>
        <w:t>Rehm J (2005) Alcohol and public health. Lancet</w:t>
      </w:r>
    </w:p>
    <w:p w:rsidR="00902E12" w:rsidRPr="0041208D" w:rsidRDefault="00902E12" w:rsidP="00902E12">
      <w:pPr>
        <w:pStyle w:val="Corpsdetexte"/>
        <w:spacing w:line="218" w:lineRule="exact"/>
        <w:ind w:left="383"/>
        <w:rPr>
          <w:rFonts w:ascii="Times New Roman" w:hAnsi="Times New Roman" w:cs="Times New Roman"/>
        </w:rPr>
      </w:pPr>
      <w:r w:rsidRPr="0041208D">
        <w:rPr>
          <w:rFonts w:ascii="Times New Roman" w:hAnsi="Times New Roman" w:cs="Times New Roman"/>
        </w:rPr>
        <w:t>365: 519-530.</w:t>
      </w:r>
    </w:p>
    <w:p w:rsidR="00902E12" w:rsidRPr="0041208D" w:rsidRDefault="00902E12" w:rsidP="00902E12">
      <w:pPr>
        <w:pStyle w:val="Corpsdetexte"/>
        <w:numPr>
          <w:ilvl w:val="0"/>
          <w:numId w:val="3"/>
        </w:numPr>
        <w:spacing w:line="218" w:lineRule="exact"/>
        <w:rPr>
          <w:rFonts w:ascii="Times New Roman" w:hAnsi="Times New Roman" w:cs="Times New Roman"/>
        </w:rPr>
      </w:pPr>
      <w:r w:rsidRPr="0041208D">
        <w:rPr>
          <w:rFonts w:ascii="Times New Roman" w:hAnsi="Times New Roman" w:cs="Times New Roman"/>
        </w:rPr>
        <w:t xml:space="preserve"> </w:t>
      </w:r>
      <w:r w:rsidRPr="0041208D">
        <w:rPr>
          <w:rFonts w:ascii="Times New Roman" w:hAnsi="Times New Roman" w:cs="Times New Roman"/>
          <w:color w:val="222222"/>
          <w:shd w:val="clear" w:color="auto" w:fill="FFFFFF"/>
        </w:rPr>
        <w:t xml:space="preserve">Mammate, N.; </w:t>
      </w:r>
      <w:r w:rsidRPr="0041208D">
        <w:rPr>
          <w:rFonts w:ascii="Times New Roman" w:hAnsi="Times New Roman" w:cs="Times New Roman"/>
          <w:color w:val="FF0000"/>
          <w:u w:val="single"/>
          <w:shd w:val="clear" w:color="auto" w:fill="FFFFFF"/>
        </w:rPr>
        <w:t xml:space="preserve">El oumari, </w:t>
      </w:r>
      <w:r w:rsidRPr="0041208D">
        <w:rPr>
          <w:rFonts w:ascii="Times New Roman" w:hAnsi="Times New Roman" w:cs="Times New Roman"/>
          <w:color w:val="FF0000"/>
          <w:u w:val="single"/>
          <w:shd w:val="clear" w:color="auto" w:fill="FFFFFF"/>
        </w:rPr>
        <w:t>F.E</w:t>
      </w:r>
      <w:r w:rsidRPr="0041208D">
        <w:rPr>
          <w:rFonts w:ascii="Times New Roman" w:hAnsi="Times New Roman" w:cs="Times New Roman"/>
          <w:color w:val="222222"/>
          <w:shd w:val="clear" w:color="auto" w:fill="FFFFFF"/>
        </w:rPr>
        <w:t xml:space="preserve">.; Imtara, H.; Belchkar, S.; </w:t>
      </w:r>
      <w:r w:rsidRPr="0041208D">
        <w:rPr>
          <w:rFonts w:ascii="Times New Roman" w:hAnsi="Times New Roman" w:cs="Times New Roman"/>
          <w:color w:val="222222"/>
          <w:shd w:val="clear" w:color="auto" w:fill="FFFFFF"/>
        </w:rPr>
        <w:t>Lahrichi, A.; Alqahtani, A.S.; Noman, O.M.; Tarayrah, M.; Houssaini, T.S. Antioxidant and Anti-Urolithiatic Activity of Aqueous and Ethanolic Extracts from </w:t>
      </w:r>
      <w:r w:rsidRPr="0041208D">
        <w:rPr>
          <w:rFonts w:ascii="Times New Roman" w:hAnsi="Times New Roman" w:cs="Times New Roman"/>
          <w:i/>
          <w:iCs/>
          <w:color w:val="222222"/>
          <w:shd w:val="clear" w:color="auto" w:fill="FFFFFF"/>
        </w:rPr>
        <w:t>Saussurea costus</w:t>
      </w:r>
      <w:r w:rsidRPr="0041208D">
        <w:rPr>
          <w:rFonts w:ascii="Times New Roman" w:hAnsi="Times New Roman" w:cs="Times New Roman"/>
          <w:color w:val="222222"/>
          <w:shd w:val="clear" w:color="auto" w:fill="FFFFFF"/>
        </w:rPr>
        <w:t> (Falc) Lispich Using Scanning Electron Microscopy. </w:t>
      </w:r>
      <w:r w:rsidRPr="0041208D">
        <w:rPr>
          <w:rStyle w:val="Accentuation"/>
          <w:rFonts w:ascii="Times New Roman" w:hAnsi="Times New Roman" w:cs="Times New Roman"/>
          <w:color w:val="222222"/>
          <w:shd w:val="clear" w:color="auto" w:fill="FFFFFF"/>
        </w:rPr>
        <w:t>Life</w:t>
      </w:r>
      <w:r w:rsidRPr="0041208D">
        <w:rPr>
          <w:rFonts w:ascii="Times New Roman" w:hAnsi="Times New Roman" w:cs="Times New Roman"/>
          <w:color w:val="222222"/>
          <w:shd w:val="clear" w:color="auto" w:fill="FFFFFF"/>
        </w:rPr>
        <w:t> </w:t>
      </w:r>
      <w:r w:rsidRPr="0041208D">
        <w:rPr>
          <w:rFonts w:ascii="Times New Roman" w:hAnsi="Times New Roman" w:cs="Times New Roman"/>
          <w:b/>
          <w:bCs/>
          <w:color w:val="222222"/>
          <w:shd w:val="clear" w:color="auto" w:fill="FFFFFF"/>
        </w:rPr>
        <w:t>2022</w:t>
      </w:r>
      <w:r w:rsidRPr="0041208D">
        <w:rPr>
          <w:rFonts w:ascii="Times New Roman" w:hAnsi="Times New Roman" w:cs="Times New Roman"/>
          <w:color w:val="222222"/>
          <w:shd w:val="clear" w:color="auto" w:fill="FFFFFF"/>
        </w:rPr>
        <w:t>, </w:t>
      </w:r>
      <w:r w:rsidRPr="0041208D">
        <w:rPr>
          <w:rStyle w:val="Accentuation"/>
          <w:rFonts w:ascii="Times New Roman" w:hAnsi="Times New Roman" w:cs="Times New Roman"/>
          <w:color w:val="222222"/>
          <w:shd w:val="clear" w:color="auto" w:fill="FFFFFF"/>
        </w:rPr>
        <w:t>12</w:t>
      </w:r>
      <w:r w:rsidRPr="0041208D">
        <w:rPr>
          <w:rFonts w:ascii="Times New Roman" w:hAnsi="Times New Roman" w:cs="Times New Roman"/>
          <w:color w:val="222222"/>
          <w:shd w:val="clear" w:color="auto" w:fill="FFFFFF"/>
        </w:rPr>
        <w:t>, 1026. https://doi.org/10.3390/life12071026</w:t>
      </w:r>
    </w:p>
    <w:p w:rsidR="005973B9" w:rsidRPr="00816E83" w:rsidRDefault="005973B9" w:rsidP="005973B9">
      <w:pPr>
        <w:pStyle w:val="Corpsdetexte"/>
        <w:spacing w:before="85" w:line="216" w:lineRule="exact"/>
        <w:ind w:left="383" w:right="138" w:hanging="284"/>
        <w:jc w:val="both"/>
        <w:rPr>
          <w:rFonts w:ascii="Times New Roman" w:hAnsi="Times New Roman" w:cs="Times New Roman"/>
          <w:lang w:val="fr-MA"/>
        </w:rPr>
      </w:pPr>
      <w:r w:rsidRPr="0041208D">
        <w:rPr>
          <w:rFonts w:ascii="Times New Roman" w:hAnsi="Times New Roman" w:cs="Times New Roman"/>
        </w:rPr>
        <w:t xml:space="preserve">5. </w:t>
      </w:r>
      <w:r w:rsidR="00902E12" w:rsidRPr="0041208D">
        <w:rPr>
          <w:rFonts w:ascii="Times New Roman" w:hAnsi="Times New Roman" w:cs="Times New Roman"/>
          <w:color w:val="FF0000"/>
          <w:u w:val="single"/>
          <w:shd w:val="clear" w:color="auto" w:fill="FFFFFF"/>
        </w:rPr>
        <w:t>El oumari, F.E</w:t>
      </w:r>
      <w:r w:rsidR="00902E12" w:rsidRPr="0041208D">
        <w:rPr>
          <w:rFonts w:ascii="Times New Roman" w:hAnsi="Times New Roman" w:cs="Times New Roman"/>
          <w:color w:val="FF0000"/>
          <w:shd w:val="clear" w:color="auto" w:fill="FFFFFF"/>
        </w:rPr>
        <w:t xml:space="preserve">.; </w:t>
      </w:r>
      <w:r w:rsidR="00902E12" w:rsidRPr="0041208D">
        <w:rPr>
          <w:rFonts w:ascii="Times New Roman" w:hAnsi="Times New Roman" w:cs="Times New Roman"/>
          <w:color w:val="222222"/>
          <w:shd w:val="clear" w:color="auto" w:fill="FFFFFF"/>
        </w:rPr>
        <w:t>Mammate, N.; Imtara, H.; Lahrichi, A.; Elhabbani, R.; El mouhri, G.; Alqahtani, A.S.; Noman, O.M.; Ibrahim, M.N.; Grafov, A.; Bousta, D.; Sqalli Houssaini, T. Chemical Composition, Antioxidant Potentials, and Calcium Oxalate Anticrystallization Activity of Polyphenol and Saponin Fractions from </w:t>
      </w:r>
      <w:r w:rsidR="00902E12" w:rsidRPr="0041208D">
        <w:rPr>
          <w:rFonts w:ascii="Times New Roman" w:hAnsi="Times New Roman" w:cs="Times New Roman"/>
          <w:i/>
          <w:iCs/>
          <w:color w:val="222222"/>
          <w:shd w:val="clear" w:color="auto" w:fill="FFFFFF"/>
        </w:rPr>
        <w:t>Argania spinosa</w:t>
      </w:r>
      <w:r w:rsidR="00902E12" w:rsidRPr="0041208D">
        <w:rPr>
          <w:rFonts w:ascii="Times New Roman" w:hAnsi="Times New Roman" w:cs="Times New Roman"/>
          <w:color w:val="222222"/>
          <w:shd w:val="clear" w:color="auto" w:fill="FFFFFF"/>
        </w:rPr>
        <w:t> L. Press Cake. </w:t>
      </w:r>
      <w:r w:rsidR="00902E12" w:rsidRPr="0041208D">
        <w:rPr>
          <w:rStyle w:val="Accentuation"/>
          <w:rFonts w:ascii="Times New Roman" w:hAnsi="Times New Roman" w:cs="Times New Roman"/>
          <w:color w:val="222222"/>
          <w:shd w:val="clear" w:color="auto" w:fill="FFFFFF"/>
        </w:rPr>
        <w:t>Plants</w:t>
      </w:r>
      <w:r w:rsidR="00902E12" w:rsidRPr="0041208D">
        <w:rPr>
          <w:rFonts w:ascii="Times New Roman" w:hAnsi="Times New Roman" w:cs="Times New Roman"/>
          <w:color w:val="222222"/>
          <w:shd w:val="clear" w:color="auto" w:fill="FFFFFF"/>
        </w:rPr>
        <w:t> </w:t>
      </w:r>
      <w:r w:rsidR="00902E12" w:rsidRPr="0041208D">
        <w:rPr>
          <w:rFonts w:ascii="Times New Roman" w:hAnsi="Times New Roman" w:cs="Times New Roman"/>
          <w:b/>
          <w:bCs/>
          <w:color w:val="222222"/>
          <w:shd w:val="clear" w:color="auto" w:fill="FFFFFF"/>
        </w:rPr>
        <w:t>2022</w:t>
      </w:r>
      <w:r w:rsidR="00902E12" w:rsidRPr="0041208D">
        <w:rPr>
          <w:rFonts w:ascii="Times New Roman" w:hAnsi="Times New Roman" w:cs="Times New Roman"/>
          <w:color w:val="222222"/>
          <w:shd w:val="clear" w:color="auto" w:fill="FFFFFF"/>
        </w:rPr>
        <w:t>, </w:t>
      </w:r>
      <w:r w:rsidR="00902E12" w:rsidRPr="0041208D">
        <w:rPr>
          <w:rStyle w:val="Accentuation"/>
          <w:rFonts w:ascii="Times New Roman" w:hAnsi="Times New Roman" w:cs="Times New Roman"/>
          <w:color w:val="222222"/>
          <w:shd w:val="clear" w:color="auto" w:fill="FFFFFF"/>
        </w:rPr>
        <w:t>11</w:t>
      </w:r>
      <w:r w:rsidR="00902E12" w:rsidRPr="0041208D">
        <w:rPr>
          <w:rFonts w:ascii="Times New Roman" w:hAnsi="Times New Roman" w:cs="Times New Roman"/>
          <w:color w:val="222222"/>
          <w:shd w:val="clear" w:color="auto" w:fill="FFFFFF"/>
        </w:rPr>
        <w:t>, 1852. https://doi.org/10.3390/plants11141852</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Pr="00D62425" w:rsidRDefault="00D62425">
      <w:pPr>
        <w:pStyle w:val="Corpsdetexte"/>
        <w:rPr>
          <w:rFonts w:ascii="Calibri"/>
          <w:b/>
          <w:sz w:val="20"/>
        </w:rPr>
      </w:pPr>
      <w:r>
        <w:rPr>
          <w:rFonts w:ascii="Calibri"/>
          <w:sz w:val="20"/>
        </w:rPr>
        <w:lastRenderedPageBreak/>
        <w:t xml:space="preserve">                 </w:t>
      </w:r>
      <w:r w:rsidRPr="00D62425">
        <w:rPr>
          <w:rFonts w:ascii="Calibri"/>
          <w:b/>
          <w:sz w:val="20"/>
        </w:rPr>
        <w:t>Photograph</w:t>
      </w:r>
    </w:p>
    <w:p w:rsidR="00AE3E37" w:rsidRDefault="00292ED9">
      <w:pPr>
        <w:pStyle w:val="Corpsdetexte"/>
        <w:spacing w:line="40" w:lineRule="exact"/>
        <w:ind w:left="2202"/>
        <w:rPr>
          <w:rFonts w:ascii="Calibri"/>
          <w:sz w:val="4"/>
        </w:rPr>
      </w:pPr>
      <w:r>
        <w:rPr>
          <w:rFonts w:ascii="Calibri"/>
          <w:noProof/>
          <w:sz w:val="4"/>
          <w:lang w:val="fr-FR" w:eastAsia="fr-FR"/>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CC69426"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lastRenderedPageBreak/>
        <w:t xml:space="preserve">              </w:t>
      </w:r>
      <w:r>
        <w:rPr>
          <w:noProof/>
          <w:lang w:val="fr-FR" w:eastAsia="fr-FR"/>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p>
    <w:p w:rsidR="00AE3E37" w:rsidRDefault="00816E83">
      <w:pPr>
        <w:spacing w:before="41" w:line="154" w:lineRule="exact"/>
        <w:ind w:left="213" w:right="231"/>
        <w:jc w:val="both"/>
        <w:rPr>
          <w:rFonts w:ascii="Arial"/>
          <w:sz w:val="14"/>
        </w:rPr>
      </w:pPr>
      <w:r>
        <w:rPr>
          <w:rFonts w:ascii="Arial"/>
          <w:sz w:val="14"/>
        </w:rPr>
        <w:t>Fatima ezzahra El oumari</w:t>
      </w:r>
      <w:r w:rsidR="0078738A">
        <w:rPr>
          <w:rFonts w:ascii="Arial"/>
          <w:sz w:val="14"/>
        </w:rPr>
        <w:t xml:space="preserve"> </w:t>
      </w:r>
      <w:r w:rsidR="00A9710C">
        <w:rPr>
          <w:rFonts w:ascii="Arial"/>
          <w:sz w:val="14"/>
        </w:rPr>
        <w:t xml:space="preserve">has her expertise in </w:t>
      </w:r>
      <w:r>
        <w:rPr>
          <w:rFonts w:ascii="Arial"/>
          <w:sz w:val="14"/>
        </w:rPr>
        <w:t>urolithiatic patients</w:t>
      </w:r>
      <w:r w:rsidR="00960084">
        <w:rPr>
          <w:rFonts w:ascii="Arial"/>
          <w:sz w:val="14"/>
        </w:rPr>
        <w:t xml:space="preserve"> care and</w:t>
      </w:r>
      <w:r>
        <w:rPr>
          <w:rFonts w:ascii="Arial"/>
          <w:sz w:val="14"/>
        </w:rPr>
        <w:t xml:space="preserve"> </w:t>
      </w:r>
      <w:r w:rsidR="00A9710C">
        <w:rPr>
          <w:rFonts w:ascii="Arial"/>
          <w:sz w:val="14"/>
        </w:rPr>
        <w:t>in improving the health and wellbeing</w:t>
      </w:r>
      <w:r w:rsidR="00960084">
        <w:rPr>
          <w:rFonts w:ascii="Arial"/>
          <w:sz w:val="14"/>
        </w:rPr>
        <w:t xml:space="preserve"> in hospital center</w:t>
      </w:r>
      <w:bookmarkStart w:id="0" w:name="_GoBack"/>
      <w:bookmarkEnd w:id="0"/>
      <w:r w:rsidR="00A9710C">
        <w:rPr>
          <w:rFonts w:ascii="Arial"/>
          <w:sz w:val="14"/>
        </w:rPr>
        <w:t xml:space="preserve">. Her </w:t>
      </w:r>
      <w:r w:rsidR="00960084">
        <w:rPr>
          <w:rFonts w:ascii="Arial"/>
          <w:sz w:val="14"/>
        </w:rPr>
        <w:t>experience was focused on helping patients to prevent the reccurence of the kidney stones with diet.</w:t>
      </w:r>
      <w:r w:rsidR="000E2911">
        <w:rPr>
          <w:rFonts w:ascii="Arial"/>
          <w:sz w:val="14"/>
        </w:rPr>
        <w:t xml:space="preserve"> </w:t>
      </w:r>
      <w:r w:rsidR="00A9710C">
        <w:rPr>
          <w:rFonts w:ascii="Arial"/>
          <w:sz w:val="14"/>
        </w:rPr>
        <w:t>She</w:t>
      </w:r>
      <w:r w:rsidR="000E2911">
        <w:rPr>
          <w:rFonts w:ascii="Arial"/>
          <w:sz w:val="14"/>
        </w:rPr>
        <w:t xml:space="preserve"> </w:t>
      </w:r>
      <w:r w:rsidR="00A9710C">
        <w:rPr>
          <w:rFonts w:ascii="Arial"/>
          <w:sz w:val="14"/>
        </w:rPr>
        <w:t>has</w:t>
      </w:r>
      <w:r w:rsidR="000E2911">
        <w:rPr>
          <w:rFonts w:ascii="Arial"/>
          <w:sz w:val="14"/>
        </w:rPr>
        <w:t xml:space="preserve"> </w:t>
      </w:r>
      <w:r w:rsidR="00A9710C">
        <w:rPr>
          <w:rFonts w:ascii="Arial"/>
          <w:sz w:val="14"/>
        </w:rPr>
        <w:t>built</w:t>
      </w:r>
      <w:r w:rsidR="000E2911">
        <w:rPr>
          <w:rFonts w:ascii="Arial"/>
          <w:sz w:val="14"/>
        </w:rPr>
        <w:t xml:space="preserve"> </w:t>
      </w:r>
      <w:r w:rsidR="00A9710C">
        <w:rPr>
          <w:rFonts w:ascii="Arial"/>
          <w:sz w:val="14"/>
        </w:rPr>
        <w:t>this</w:t>
      </w:r>
      <w:r w:rsidR="000E2911">
        <w:rPr>
          <w:rFonts w:ascii="Arial"/>
          <w:sz w:val="14"/>
        </w:rPr>
        <w:t xml:space="preserve"> </w:t>
      </w:r>
      <w:r w:rsidR="00A9710C">
        <w:rPr>
          <w:rFonts w:ascii="Arial"/>
          <w:sz w:val="14"/>
        </w:rPr>
        <w:t>model</w:t>
      </w:r>
      <w:r w:rsidR="000E2911">
        <w:rPr>
          <w:rFonts w:ascii="Arial"/>
          <w:sz w:val="14"/>
        </w:rPr>
        <w:t xml:space="preserve"> </w:t>
      </w:r>
      <w:r w:rsidR="00A9710C">
        <w:rPr>
          <w:rFonts w:ascii="Arial"/>
          <w:sz w:val="14"/>
        </w:rPr>
        <w:t>after</w:t>
      </w:r>
      <w:r w:rsidR="000E2911">
        <w:rPr>
          <w:rFonts w:ascii="Arial"/>
          <w:sz w:val="14"/>
        </w:rPr>
        <w:t xml:space="preserve"> </w:t>
      </w:r>
      <w:r w:rsidR="00A9710C">
        <w:rPr>
          <w:rFonts w:ascii="Arial"/>
          <w:sz w:val="14"/>
        </w:rPr>
        <w:t>years</w:t>
      </w:r>
      <w:r w:rsidR="000E2911">
        <w:rPr>
          <w:rFonts w:ascii="Arial"/>
          <w:sz w:val="14"/>
        </w:rPr>
        <w:t xml:space="preserve"> </w:t>
      </w:r>
      <w:r w:rsidR="00A9710C">
        <w:rPr>
          <w:rFonts w:ascii="Arial"/>
          <w:sz w:val="14"/>
        </w:rPr>
        <w:t>of</w:t>
      </w:r>
      <w:r w:rsidR="000E2911">
        <w:rPr>
          <w:rFonts w:ascii="Arial"/>
          <w:sz w:val="14"/>
        </w:rPr>
        <w:t xml:space="preserve"> </w:t>
      </w:r>
      <w:r w:rsidR="00A9710C">
        <w:rPr>
          <w:rFonts w:ascii="Arial"/>
          <w:sz w:val="14"/>
        </w:rPr>
        <w:t>experience</w:t>
      </w:r>
      <w:r w:rsidR="000E2911">
        <w:rPr>
          <w:rFonts w:ascii="Arial"/>
          <w:sz w:val="14"/>
        </w:rPr>
        <w:t xml:space="preserve"> </w:t>
      </w:r>
      <w:r w:rsidR="00A9710C">
        <w:rPr>
          <w:rFonts w:ascii="Arial"/>
          <w:sz w:val="14"/>
        </w:rPr>
        <w:t>in</w:t>
      </w:r>
      <w:r w:rsidR="000E2911">
        <w:rPr>
          <w:rFonts w:ascii="Arial"/>
          <w:sz w:val="14"/>
        </w:rPr>
        <w:t xml:space="preserve"> </w:t>
      </w:r>
      <w:r w:rsidR="00A9710C">
        <w:rPr>
          <w:rFonts w:ascii="Arial"/>
          <w:sz w:val="14"/>
        </w:rPr>
        <w:t>research,</w:t>
      </w:r>
      <w:r w:rsidR="000E2911">
        <w:rPr>
          <w:rFonts w:ascii="Arial"/>
          <w:sz w:val="14"/>
        </w:rPr>
        <w:t xml:space="preserve"> </w:t>
      </w:r>
      <w:r w:rsidR="00A9710C">
        <w:rPr>
          <w:rFonts w:ascii="Arial"/>
          <w:sz w:val="14"/>
        </w:rPr>
        <w:t>evaluation</w:t>
      </w:r>
      <w:r w:rsidR="00960084">
        <w:rPr>
          <w:rFonts w:ascii="Arial"/>
          <w:sz w:val="14"/>
        </w:rPr>
        <w:t xml:space="preserve">, </w:t>
      </w:r>
      <w:r w:rsidR="00A9710C">
        <w:rPr>
          <w:rFonts w:ascii="Arial"/>
          <w:sz w:val="14"/>
        </w:rPr>
        <w:t xml:space="preserve">both in hospital and education institutions. </w:t>
      </w:r>
      <w:r w:rsidR="00960084">
        <w:rPr>
          <w:rFonts w:ascii="Arial"/>
          <w:sz w:val="14"/>
        </w:rPr>
        <w:t>The purpose of his project is to find an herbal drug for the management and treatement of urolithiasis.</w:t>
      </w:r>
    </w:p>
    <w:p w:rsidR="00960084" w:rsidRDefault="00960084" w:rsidP="00960084">
      <w:pPr>
        <w:spacing w:before="62"/>
        <w:ind w:left="4217" w:right="4235"/>
        <w:jc w:val="center"/>
        <w:rPr>
          <w:rFonts w:ascii="Arial"/>
          <w:sz w:val="14"/>
        </w:rPr>
      </w:pPr>
      <w:r>
        <w:rPr>
          <w:rFonts w:ascii="Arial"/>
          <w:sz w:val="14"/>
        </w:rPr>
        <w:t>Email :</w:t>
      </w:r>
    </w:p>
    <w:p w:rsidR="00960084" w:rsidRDefault="00960084" w:rsidP="00960084">
      <w:pPr>
        <w:spacing w:before="62"/>
        <w:ind w:left="4217" w:right="4235"/>
        <w:jc w:val="center"/>
        <w:rPr>
          <w:rFonts w:ascii="Arial"/>
          <w:sz w:val="14"/>
        </w:rPr>
      </w:pPr>
      <w:hyperlink r:id="rId11" w:history="1">
        <w:r w:rsidRPr="00860EB0">
          <w:rPr>
            <w:rStyle w:val="Lienhypertexte"/>
            <w:rFonts w:ascii="Arial"/>
            <w:sz w:val="14"/>
          </w:rPr>
          <w:t>fatime</w:t>
        </w:r>
        <w:r>
          <w:rPr>
            <w:rStyle w:val="Lienhypertexte"/>
            <w:rFonts w:ascii="Arial"/>
            <w:sz w:val="14"/>
          </w:rPr>
          <w:t xml:space="preserve">zzahraeloumari@gmai </w:t>
        </w:r>
        <w:r w:rsidRPr="00860EB0">
          <w:rPr>
            <w:rStyle w:val="Lienhypertexte"/>
            <w:rFonts w:ascii="Arial"/>
            <w:sz w:val="14"/>
          </w:rPr>
          <w:t>.com</w:t>
        </w:r>
      </w:hyperlink>
    </w:p>
    <w:p w:rsidR="00AE3E37" w:rsidRDefault="00D51D2D">
      <w:pPr>
        <w:spacing w:before="62"/>
        <w:ind w:left="4217" w:right="4235"/>
        <w:jc w:val="center"/>
        <w:rPr>
          <w:rFonts w:ascii="Arial"/>
          <w:sz w:val="14"/>
        </w:rPr>
      </w:pPr>
      <w:hyperlink r:id="rId12" w:history="1"/>
    </w:p>
    <w:p w:rsidR="00AE3E37" w:rsidRDefault="00292ED9">
      <w:pPr>
        <w:pStyle w:val="Corpsdetexte"/>
        <w:spacing w:before="2"/>
        <w:rPr>
          <w:rFonts w:ascii="Arial"/>
          <w:sz w:val="19"/>
        </w:rPr>
      </w:pPr>
      <w:r>
        <w:rPr>
          <w:noProof/>
          <w:lang w:val="fr-FR" w:eastAsia="fr-FR"/>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AAEC5A1"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Corpsdetexte"/>
        <w:rPr>
          <w:rFonts w:ascii="Arial"/>
          <w:sz w:val="20"/>
        </w:rPr>
      </w:pPr>
    </w:p>
    <w:p w:rsidR="00AE3E37" w:rsidRDefault="00AE3E37">
      <w:pPr>
        <w:pStyle w:val="Corpsdetexte"/>
        <w:rPr>
          <w:rFonts w:ascii="Arial"/>
          <w:sz w:val="20"/>
        </w:rPr>
      </w:pPr>
    </w:p>
    <w:p w:rsidR="00AE3E37" w:rsidRDefault="00AE3E37">
      <w:pPr>
        <w:pStyle w:val="Corpsdetexte"/>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Corpsdetexte"/>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51D2D" w:rsidRDefault="00D51D2D">
      <w:r>
        <w:separator/>
      </w:r>
    </w:p>
  </w:endnote>
  <w:endnote w:type="continuationSeparator" w:id="0">
    <w:p w:rsidR="00D51D2D" w:rsidRDefault="00D51D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RWPalladioL-Bold">
    <w:altName w:val="Times New Roman"/>
    <w:panose1 w:val="00000000000000000000"/>
    <w:charset w:val="00"/>
    <w:family w:val="roman"/>
    <w:notTrueType/>
    <w:pitch w:val="default"/>
  </w:font>
  <w:font w:name="URWPalladioL-BoldItal">
    <w:altName w:val="Times New Roman"/>
    <w:panose1 w:val="00000000000000000000"/>
    <w:charset w:val="00"/>
    <w:family w:val="roman"/>
    <w:notTrueType/>
    <w:pitch w:val="default"/>
  </w:font>
  <w:font w:name="Palatino Linotype">
    <w:panose1 w:val="02040502050505030304"/>
    <w:charset w:val="00"/>
    <w:family w:val="roman"/>
    <w:pitch w:val="variable"/>
    <w:sig w:usb0="E0000287" w:usb1="40000013" w:usb2="00000000" w:usb3="00000000" w:csb0="000001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Corpsdetexte"/>
      <w:spacing w:line="14" w:lineRule="auto"/>
      <w:rPr>
        <w:sz w:val="20"/>
      </w:rPr>
    </w:pPr>
    <w:r>
      <w:rPr>
        <w:noProof/>
        <w:lang w:val="fr-FR" w:eastAsia="fr-FR"/>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fr-FR" w:eastAsia="fr-FR"/>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fr-FR" w:eastAsia="fr-FR"/>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51D2D" w:rsidRDefault="00D51D2D">
      <w:r>
        <w:separator/>
      </w:r>
    </w:p>
  </w:footnote>
  <w:footnote w:type="continuationSeparator" w:id="0">
    <w:p w:rsidR="00D51D2D" w:rsidRDefault="00D51D2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Corpsdetexte"/>
      <w:spacing w:line="14" w:lineRule="auto"/>
      <w:rPr>
        <w:sz w:val="20"/>
      </w:rPr>
    </w:pPr>
    <w:r>
      <w:rPr>
        <w:noProof/>
        <w:lang w:val="fr-FR" w:eastAsia="fr-FR"/>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B35DF1" w:rsidRDefault="00A9710C">
                          <w:pPr>
                            <w:spacing w:before="2" w:line="249" w:lineRule="auto"/>
                            <w:ind w:left="156" w:right="18" w:hanging="137"/>
                            <w:rPr>
                              <w:rFonts w:ascii="Arial"/>
                              <w:color w:val="FFFFFF" w:themeColor="background1"/>
                              <w:sz w:val="14"/>
                              <w:lang w:val="fr-FR"/>
                            </w:rPr>
                          </w:pPr>
                          <w:r w:rsidRPr="00B35DF1">
                            <w:rPr>
                              <w:rFonts w:ascii="Arial"/>
                              <w:color w:val="FFFFFF" w:themeColor="background1"/>
                              <w:sz w:val="14"/>
                              <w:lang w:val="fr-FR"/>
                            </w:rPr>
                            <w:t xml:space="preserve">T Furuta et al., J Pai n Relief 2016, 5:3(Suppl) </w:t>
                          </w:r>
                          <w:hyperlink r:id="rId1">
                            <w:r w:rsidRPr="00B35DF1">
                              <w:rPr>
                                <w:rFonts w:ascii="Arial"/>
                                <w:color w:val="FFFFFF" w:themeColor="background1"/>
                                <w:sz w:val="14"/>
                                <w:lang w:val="fr-FR"/>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B35DF1" w:rsidRDefault="00A9710C">
                    <w:pPr>
                      <w:spacing w:before="2" w:line="249" w:lineRule="auto"/>
                      <w:ind w:left="156" w:right="18" w:hanging="137"/>
                      <w:rPr>
                        <w:rFonts w:ascii="Arial"/>
                        <w:color w:val="FFFFFF" w:themeColor="background1"/>
                        <w:sz w:val="14"/>
                        <w:lang w:val="fr-FR"/>
                      </w:rPr>
                    </w:pPr>
                    <w:r w:rsidRPr="00B35DF1">
                      <w:rPr>
                        <w:rFonts w:ascii="Arial"/>
                        <w:color w:val="FFFFFF" w:themeColor="background1"/>
                        <w:sz w:val="14"/>
                        <w:lang w:val="fr-FR"/>
                      </w:rPr>
                      <w:t xml:space="preserve">T Furuta et al., J Pai n Relief 2016, 5:3(Suppl) </w:t>
                    </w:r>
                    <w:hyperlink r:id="rId2">
                      <w:r w:rsidRPr="00B35DF1">
                        <w:rPr>
                          <w:rFonts w:ascii="Arial"/>
                          <w:color w:val="FFFFFF" w:themeColor="background1"/>
                          <w:sz w:val="14"/>
                          <w:lang w:val="fr-FR"/>
                        </w:rPr>
                        <w:t>http://dx.doi.org/10.4172/2167-0846.C1.006</w:t>
                      </w:r>
                    </w:hyperlink>
                  </w:p>
                </w:txbxContent>
              </v:textbox>
              <w10:wrap anchorx="page" anchory="page"/>
            </v:shape>
          </w:pict>
        </mc:Fallback>
      </mc:AlternateContent>
    </w:r>
    <w:r>
      <w:rPr>
        <w:noProof/>
        <w:lang w:val="fr-FR" w:eastAsia="fr-FR"/>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Corpsdetex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Corpsdetex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C441915"/>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2"/>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E763C"/>
    <w:rsid w:val="00292ED9"/>
    <w:rsid w:val="00314AFB"/>
    <w:rsid w:val="003B76D9"/>
    <w:rsid w:val="00404E5B"/>
    <w:rsid w:val="0041208D"/>
    <w:rsid w:val="00414F7B"/>
    <w:rsid w:val="00424F40"/>
    <w:rsid w:val="004355DC"/>
    <w:rsid w:val="004749B4"/>
    <w:rsid w:val="00494130"/>
    <w:rsid w:val="004F3523"/>
    <w:rsid w:val="005973B9"/>
    <w:rsid w:val="005B3A56"/>
    <w:rsid w:val="006060CE"/>
    <w:rsid w:val="0063497F"/>
    <w:rsid w:val="00783275"/>
    <w:rsid w:val="0078738A"/>
    <w:rsid w:val="00816E83"/>
    <w:rsid w:val="00873DF0"/>
    <w:rsid w:val="008756E6"/>
    <w:rsid w:val="00902E12"/>
    <w:rsid w:val="00960084"/>
    <w:rsid w:val="009B2D44"/>
    <w:rsid w:val="00A07E82"/>
    <w:rsid w:val="00A9710C"/>
    <w:rsid w:val="00AE3E37"/>
    <w:rsid w:val="00B21A57"/>
    <w:rsid w:val="00B35DF1"/>
    <w:rsid w:val="00C33602"/>
    <w:rsid w:val="00CD6F55"/>
    <w:rsid w:val="00D51D2D"/>
    <w:rsid w:val="00D62425"/>
    <w:rsid w:val="00DE3104"/>
    <w:rsid w:val="00F24ADD"/>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0DB6E5E-ECAF-4A2D-A724-7FCEA13981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Titre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re2">
    <w:name w:val="heading 2"/>
    <w:basedOn w:val="Normal"/>
    <w:uiPriority w:val="1"/>
    <w:qFormat/>
    <w:rsid w:val="00CD6F55"/>
    <w:pPr>
      <w:ind w:left="100"/>
      <w:outlineLvl w:val="1"/>
    </w:pPr>
    <w:rPr>
      <w:rFonts w:ascii="Minion Pro" w:eastAsia="Minion Pro" w:hAnsi="Minion Pro" w:cs="Minion Pro"/>
      <w:sz w:val="24"/>
      <w:szCs w:val="24"/>
    </w:rPr>
  </w:style>
  <w:style w:type="paragraph" w:styleId="Titre3">
    <w:name w:val="heading 3"/>
    <w:basedOn w:val="Normal"/>
    <w:uiPriority w:val="1"/>
    <w:qFormat/>
    <w:rsid w:val="00CD6F55"/>
    <w:pPr>
      <w:ind w:left="100"/>
      <w:outlineLvl w:val="2"/>
    </w:pPr>
    <w:rPr>
      <w:rFonts w:ascii="Arial" w:eastAsia="Arial" w:hAnsi="Arial" w:cs="Arial"/>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uiPriority w:val="1"/>
    <w:qFormat/>
    <w:rsid w:val="00CD6F55"/>
    <w:rPr>
      <w:sz w:val="18"/>
      <w:szCs w:val="18"/>
    </w:rPr>
  </w:style>
  <w:style w:type="paragraph" w:styleId="Paragraphedeliste">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tte">
    <w:name w:val="header"/>
    <w:basedOn w:val="Normal"/>
    <w:link w:val="En-tteCar"/>
    <w:uiPriority w:val="99"/>
    <w:unhideWhenUsed/>
    <w:rsid w:val="005B3A56"/>
    <w:pPr>
      <w:tabs>
        <w:tab w:val="center" w:pos="4513"/>
        <w:tab w:val="right" w:pos="9026"/>
      </w:tabs>
    </w:pPr>
  </w:style>
  <w:style w:type="character" w:customStyle="1" w:styleId="En-tteCar">
    <w:name w:val="En-tête Car"/>
    <w:basedOn w:val="Policepardfaut"/>
    <w:link w:val="En-tte"/>
    <w:uiPriority w:val="99"/>
    <w:rsid w:val="005B3A56"/>
    <w:rPr>
      <w:rFonts w:ascii="Tw Cen MT" w:eastAsia="Tw Cen MT" w:hAnsi="Tw Cen MT" w:cs="Tw Cen MT"/>
    </w:rPr>
  </w:style>
  <w:style w:type="paragraph" w:styleId="Pieddepage">
    <w:name w:val="footer"/>
    <w:basedOn w:val="Normal"/>
    <w:link w:val="PieddepageCar"/>
    <w:uiPriority w:val="99"/>
    <w:unhideWhenUsed/>
    <w:rsid w:val="005B3A56"/>
    <w:pPr>
      <w:tabs>
        <w:tab w:val="center" w:pos="4513"/>
        <w:tab w:val="right" w:pos="9026"/>
      </w:tabs>
    </w:pPr>
  </w:style>
  <w:style w:type="character" w:customStyle="1" w:styleId="PieddepageCar">
    <w:name w:val="Pied de page Car"/>
    <w:basedOn w:val="Policepardfaut"/>
    <w:link w:val="Pieddepage"/>
    <w:uiPriority w:val="99"/>
    <w:rsid w:val="005B3A56"/>
    <w:rPr>
      <w:rFonts w:ascii="Tw Cen MT" w:eastAsia="Tw Cen MT" w:hAnsi="Tw Cen MT" w:cs="Tw Cen MT"/>
    </w:rPr>
  </w:style>
  <w:style w:type="paragraph" w:styleId="Textedebulles">
    <w:name w:val="Balloon Text"/>
    <w:basedOn w:val="Normal"/>
    <w:link w:val="TextedebullesCar"/>
    <w:uiPriority w:val="99"/>
    <w:semiHidden/>
    <w:unhideWhenUsed/>
    <w:rsid w:val="004F3523"/>
    <w:rPr>
      <w:rFonts w:ascii="Tahoma" w:hAnsi="Tahoma" w:cs="Tahoma"/>
      <w:sz w:val="16"/>
      <w:szCs w:val="16"/>
    </w:rPr>
  </w:style>
  <w:style w:type="character" w:customStyle="1" w:styleId="TextedebullesCar">
    <w:name w:val="Texte de bulles Car"/>
    <w:basedOn w:val="Policepardfaut"/>
    <w:link w:val="Textedebulles"/>
    <w:uiPriority w:val="99"/>
    <w:semiHidden/>
    <w:rsid w:val="004F3523"/>
    <w:rPr>
      <w:rFonts w:ascii="Tahoma" w:eastAsia="Tw Cen MT" w:hAnsi="Tahoma" w:cs="Tahoma"/>
      <w:sz w:val="16"/>
      <w:szCs w:val="16"/>
    </w:rPr>
  </w:style>
  <w:style w:type="character" w:styleId="Lienhypertexte">
    <w:name w:val="Hyperlink"/>
    <w:basedOn w:val="Policepardfaut"/>
    <w:uiPriority w:val="99"/>
    <w:unhideWhenUsed/>
    <w:rsid w:val="008756E6"/>
    <w:rPr>
      <w:color w:val="0000FF" w:themeColor="hyperlink"/>
      <w:u w:val="single"/>
    </w:rPr>
  </w:style>
  <w:style w:type="character" w:customStyle="1" w:styleId="CorpsdetexteCar">
    <w:name w:val="Corps de texte Car"/>
    <w:basedOn w:val="Policepardfaut"/>
    <w:link w:val="Corpsdetexte"/>
    <w:uiPriority w:val="1"/>
    <w:rsid w:val="005973B9"/>
    <w:rPr>
      <w:rFonts w:ascii="Tw Cen MT" w:eastAsia="Tw Cen MT" w:hAnsi="Tw Cen MT" w:cs="Tw Cen MT"/>
      <w:sz w:val="18"/>
      <w:szCs w:val="18"/>
    </w:rPr>
  </w:style>
  <w:style w:type="character" w:customStyle="1" w:styleId="fontstyle01">
    <w:name w:val="fontstyle01"/>
    <w:basedOn w:val="Policepardfaut"/>
    <w:rsid w:val="00B35DF1"/>
    <w:rPr>
      <w:rFonts w:ascii="URWPalladioL-Bold" w:hAnsi="URWPalladioL-Bold" w:hint="default"/>
      <w:b/>
      <w:bCs/>
      <w:i w:val="0"/>
      <w:iCs w:val="0"/>
      <w:color w:val="000000"/>
      <w:sz w:val="36"/>
      <w:szCs w:val="36"/>
    </w:rPr>
  </w:style>
  <w:style w:type="character" w:customStyle="1" w:styleId="fontstyle21">
    <w:name w:val="fontstyle21"/>
    <w:basedOn w:val="Policepardfaut"/>
    <w:rsid w:val="00B35DF1"/>
    <w:rPr>
      <w:rFonts w:ascii="URWPalladioL-BoldItal" w:hAnsi="URWPalladioL-BoldItal" w:hint="default"/>
      <w:b/>
      <w:bCs/>
      <w:i/>
      <w:iCs/>
      <w:color w:val="000000"/>
      <w:sz w:val="36"/>
      <w:szCs w:val="36"/>
    </w:rPr>
  </w:style>
  <w:style w:type="paragraph" w:customStyle="1" w:styleId="MDPI17abstract">
    <w:name w:val="MDPI_1.7_abstract"/>
    <w:next w:val="Normal"/>
    <w:qFormat/>
    <w:rsid w:val="00B35DF1"/>
    <w:pPr>
      <w:widowControl/>
      <w:adjustRightInd w:val="0"/>
      <w:snapToGrid w:val="0"/>
      <w:spacing w:before="240" w:line="260" w:lineRule="atLeast"/>
      <w:ind w:left="2608"/>
      <w:jc w:val="both"/>
    </w:pPr>
    <w:rPr>
      <w:rFonts w:ascii="Palatino Linotype" w:eastAsia="Times New Roman" w:hAnsi="Palatino Linotype" w:cs="Times New Roman"/>
      <w:color w:val="000000"/>
      <w:sz w:val="18"/>
      <w:lang w:eastAsia="de-DE" w:bidi="en-US"/>
    </w:rPr>
  </w:style>
  <w:style w:type="character" w:customStyle="1" w:styleId="fontstyle31">
    <w:name w:val="fontstyle31"/>
    <w:basedOn w:val="Policepardfaut"/>
    <w:rsid w:val="00783275"/>
    <w:rPr>
      <w:rFonts w:ascii="URWPalladioL-Bold" w:hAnsi="URWPalladioL-Bold" w:hint="default"/>
      <w:b/>
      <w:bCs/>
      <w:i w:val="0"/>
      <w:iCs w:val="0"/>
      <w:color w:val="000000"/>
      <w:sz w:val="18"/>
      <w:szCs w:val="18"/>
    </w:rPr>
  </w:style>
  <w:style w:type="character" w:styleId="Accentuation">
    <w:name w:val="Emphasis"/>
    <w:basedOn w:val="Policepardfaut"/>
    <w:uiPriority w:val="20"/>
    <w:qFormat/>
    <w:rsid w:val="00902E1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fatimezzahraeloumari@g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639</TotalTime>
  <Pages>2</Pages>
  <Words>705</Words>
  <Characters>3878</Characters>
  <Application>Microsoft Office Word</Application>
  <DocSecurity>0</DocSecurity>
  <Lines>32</Lines>
  <Paragraphs>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4574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fatima ezzahra</cp:lastModifiedBy>
  <cp:revision>8</cp:revision>
  <dcterms:created xsi:type="dcterms:W3CDTF">2016-08-31T13:10:00Z</dcterms:created>
  <dcterms:modified xsi:type="dcterms:W3CDTF">2022-07-19T22:02:00Z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