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0469" w:rsidRDefault="00FA0469" w:rsidP="00FA0469">
      <w:pPr>
        <w:rPr>
          <w:rFonts w:ascii="Times New Roman" w:hAnsi="Times New Roman"/>
        </w:rPr>
      </w:pPr>
      <w:r>
        <w:rPr>
          <w:rFonts w:ascii="Times New Roman" w:hAnsi="Times New Roman"/>
        </w:rPr>
        <w:t>CAN WE AVOID PROSTATE BIOPSY IN PATIENTS WITH TRIFECTA (Serum PSA more than 100, DRE positive, Bone scan positive)?</w:t>
      </w:r>
    </w:p>
    <w:p w:rsidR="00AE3E37" w:rsidRDefault="00AE3E37" w:rsidP="00494130">
      <w:pPr>
        <w:pStyle w:val="Heading1"/>
        <w:spacing w:before="170"/>
        <w:ind w:left="0"/>
      </w:pPr>
    </w:p>
    <w:p w:rsidR="0078738A" w:rsidRDefault="0078738A" w:rsidP="005973B9">
      <w:pPr>
        <w:pStyle w:val="BodyText"/>
        <w:spacing w:before="73" w:line="198" w:lineRule="exact"/>
        <w:ind w:left="100" w:right="5987"/>
        <w:rPr>
          <w:rFonts w:ascii="Arial"/>
        </w:rPr>
      </w:pPr>
      <w:proofErr w:type="spellStart"/>
      <w:r>
        <w:rPr>
          <w:rFonts w:ascii="Arial"/>
        </w:rPr>
        <w:t>Dr</w:t>
      </w:r>
      <w:proofErr w:type="spellEnd"/>
      <w:r>
        <w:rPr>
          <w:rFonts w:ascii="Arial"/>
        </w:rPr>
        <w:t xml:space="preserve"> </w:t>
      </w:r>
      <w:r w:rsidR="00FA0469">
        <w:rPr>
          <w:rFonts w:ascii="Arial"/>
        </w:rPr>
        <w:t>JATIN SONI</w:t>
      </w:r>
      <w:r w:rsidR="005973B9">
        <w:rPr>
          <w:rFonts w:ascii="Arial"/>
        </w:rPr>
        <w:t xml:space="preserve">, </w:t>
      </w:r>
      <w:r w:rsidR="00FA0469">
        <w:rPr>
          <w:rFonts w:ascii="Arial"/>
        </w:rPr>
        <w:t>M.Ch AND DNB UROLOGY</w:t>
      </w:r>
      <w:r w:rsidR="005973B9">
        <w:rPr>
          <w:rFonts w:ascii="Arial"/>
        </w:rPr>
        <w:t xml:space="preserve">, </w:t>
      </w:r>
      <w:r w:rsidR="00FA0469">
        <w:rPr>
          <w:rFonts w:ascii="Arial"/>
        </w:rPr>
        <w:t>JUNIOR CONSULTANT APOLLO MAIN HOSPITAL CHENNAI INDIA</w:t>
      </w:r>
      <w:r w:rsidR="005973B9">
        <w:rPr>
          <w:rFonts w:ascii="Arial"/>
        </w:rPr>
        <w:t xml:space="preserve">  </w:t>
      </w:r>
    </w:p>
    <w:p w:rsidR="005973B9" w:rsidRDefault="0078738A" w:rsidP="005973B9">
      <w:pPr>
        <w:pStyle w:val="BodyText"/>
        <w:spacing w:before="73" w:line="198" w:lineRule="exact"/>
        <w:ind w:left="100" w:right="5987"/>
        <w:rPr>
          <w:rFonts w:ascii="Arial"/>
        </w:rPr>
      </w:pPr>
      <w:proofErr w:type="spellStart"/>
      <w:r>
        <w:rPr>
          <w:rFonts w:ascii="Arial"/>
        </w:rPr>
        <w:t>Dr</w:t>
      </w:r>
      <w:proofErr w:type="spellEnd"/>
      <w:r>
        <w:rPr>
          <w:rFonts w:ascii="Arial"/>
        </w:rPr>
        <w:t xml:space="preserve"> </w:t>
      </w:r>
      <w:r w:rsidR="00FA0469">
        <w:rPr>
          <w:rFonts w:ascii="Arial"/>
        </w:rPr>
        <w:t>NITESH JAIN</w:t>
      </w:r>
      <w:r w:rsidR="005973B9">
        <w:rPr>
          <w:rFonts w:ascii="Arial"/>
        </w:rPr>
        <w:t xml:space="preserve">, </w:t>
      </w:r>
      <w:r w:rsidR="00FA0469">
        <w:rPr>
          <w:rFonts w:ascii="Arial"/>
        </w:rPr>
        <w:t>M.Ch UROLOGY</w:t>
      </w:r>
      <w:r w:rsidR="005973B9">
        <w:rPr>
          <w:rFonts w:ascii="Arial"/>
        </w:rPr>
        <w:t xml:space="preserve">, </w:t>
      </w:r>
      <w:r w:rsidR="00FA0469">
        <w:rPr>
          <w:rFonts w:ascii="Arial"/>
        </w:rPr>
        <w:t xml:space="preserve">SENIOR </w:t>
      </w:r>
      <w:r w:rsidR="00FA0469">
        <w:rPr>
          <w:rFonts w:ascii="Arial"/>
        </w:rPr>
        <w:t xml:space="preserve">CONSULTANT APOLLO MAIN HOSPITAL CHENNAI INDIA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FA0469" w:rsidRDefault="00FA0469" w:rsidP="00FA0469">
      <w:pPr>
        <w:rPr>
          <w:rFonts w:ascii="Times New Roman" w:hAnsi="Times New Roman"/>
        </w:rPr>
      </w:pPr>
      <w:r w:rsidRPr="00FF39B2">
        <w:rPr>
          <w:rFonts w:ascii="Times New Roman" w:hAnsi="Times New Roman"/>
          <w:i/>
        </w:rPr>
        <w:t>Purpose</w:t>
      </w:r>
      <w:r>
        <w:rPr>
          <w:rFonts w:ascii="Times New Roman" w:hAnsi="Times New Roman"/>
        </w:rPr>
        <w:t>: Patients presenting with trifecta of high serum PSA above 100, DRE positive and Bone scan positive, belongs to advanced cancer prostate. Treatment to be followed in such patients is minimally effected by biopsy results. Thus we retrospectively investigated the patients of advanced cancer prostate for whom we did bilateral orchidectomy with prostate biopsy in one sitting at our center. It was seen that patients in whom the above said trifecta was found positive, were all having advanced cancer prostate even in biopsy.</w:t>
      </w:r>
    </w:p>
    <w:p w:rsidR="00FA0469" w:rsidRDefault="00FA0469" w:rsidP="00FA0469">
      <w:pPr>
        <w:rPr>
          <w:rFonts w:ascii="Times New Roman" w:hAnsi="Times New Roman"/>
        </w:rPr>
      </w:pPr>
      <w:r w:rsidRPr="00865582">
        <w:rPr>
          <w:rFonts w:ascii="Times New Roman" w:hAnsi="Times New Roman"/>
          <w:i/>
        </w:rPr>
        <w:t>Materials and methods</w:t>
      </w:r>
      <w:r>
        <w:rPr>
          <w:rFonts w:ascii="Times New Roman" w:hAnsi="Times New Roman"/>
        </w:rPr>
        <w:t xml:space="preserve">: Around 131 patients who underwent prostatic biopsy with bilateral orchidectomy at our center over a period of last six years were reviewed retrospectively. All of these patients were having trifecta positive (Serum PSA more than 100, Bone scan positive and DRE positive). In all biopsy proven patients positive predictive value and sensitivity and specificity of combined Bone scan positive with DRE positive with serum PSA more than 100 were calculated in view of detecting advanced cancer prostate. </w:t>
      </w:r>
    </w:p>
    <w:p w:rsidR="00FA0469" w:rsidRDefault="00FA0469" w:rsidP="00FA0469">
      <w:pPr>
        <w:rPr>
          <w:rFonts w:ascii="Times New Roman" w:hAnsi="Times New Roman"/>
        </w:rPr>
      </w:pPr>
      <w:r w:rsidRPr="00865582">
        <w:rPr>
          <w:rFonts w:ascii="Times New Roman" w:hAnsi="Times New Roman"/>
          <w:i/>
        </w:rPr>
        <w:t>Results</w:t>
      </w:r>
      <w:r>
        <w:rPr>
          <w:rFonts w:ascii="Times New Roman" w:hAnsi="Times New Roman"/>
        </w:rPr>
        <w:t xml:space="preserve">: Almost all 131 patients with Trifecta of serum PSA levels above 100, Bone scan positive and DRE positive were having advanced cancer prostate. Biopsy was done at the time of bilateral orchidectomy in all patients.  </w:t>
      </w:r>
    </w:p>
    <w:p w:rsidR="00FA0469" w:rsidRDefault="00FA0469" w:rsidP="00FA0469">
      <w:pPr>
        <w:rPr>
          <w:rFonts w:ascii="Times New Roman" w:hAnsi="Times New Roman"/>
        </w:rPr>
      </w:pPr>
      <w:r w:rsidRPr="00777007">
        <w:rPr>
          <w:rFonts w:ascii="Times New Roman" w:hAnsi="Times New Roman"/>
          <w:i/>
        </w:rPr>
        <w:t>Conclusion</w:t>
      </w:r>
      <w:r>
        <w:rPr>
          <w:rFonts w:ascii="Times New Roman" w:hAnsi="Times New Roman"/>
        </w:rPr>
        <w:t xml:space="preserve">:  We suggest possibility of detecting almost all patients with advanced cancer prostate who are having Trifecta of High serum PSA with advanced features in imaging as bone scan and are having DRE positive. In such patients we can easily skip prostatic biopsy early in phase and can move for hormone withdrawal treatment strait away. This proves extremely beneficial for elderly and prevents them from side effects of  prostate biopsy.    </w:t>
      </w:r>
    </w:p>
    <w:p w:rsidR="00FA0469" w:rsidRDefault="00FA0469" w:rsidP="00FA0469">
      <w:pPr>
        <w:rPr>
          <w:rFonts w:ascii="Times New Roman" w:hAnsi="Times New Roman"/>
        </w:rPr>
      </w:pPr>
      <w:r w:rsidRPr="00896366">
        <w:rPr>
          <w:rFonts w:ascii="Times New Roman" w:hAnsi="Times New Roman"/>
          <w:i/>
        </w:rPr>
        <w:t>Key Words</w:t>
      </w:r>
      <w:r>
        <w:rPr>
          <w:rFonts w:ascii="Times New Roman" w:hAnsi="Times New Roman"/>
        </w:rPr>
        <w:t xml:space="preserve">: Trifecta Serum PSA more than 100, Bone scan positive, DRE positive </w:t>
      </w:r>
    </w:p>
    <w:p w:rsidR="00AE3E37" w:rsidRDefault="00A9710C" w:rsidP="00EC0F82">
      <w:pPr>
        <w:pStyle w:val="Heading3"/>
        <w:spacing w:before="74"/>
        <w:rPr>
          <w:b w:val="0"/>
          <w:sz w:val="16"/>
        </w:rPr>
      </w:pPr>
      <w:r>
        <w:rPr>
          <w:b w:val="0"/>
        </w:rPr>
        <w:br w:type="column"/>
      </w:r>
      <w:bookmarkStart w:id="0" w:name="_GoBack"/>
      <w:bookmarkEnd w:id="0"/>
      <w:r w:rsidR="00EC0F82">
        <w:rPr>
          <w:b w:val="0"/>
          <w:sz w:val="16"/>
        </w:rPr>
        <w:t xml:space="preserve"> </w:t>
      </w:r>
    </w:p>
    <w:p w:rsidR="005973B9" w:rsidRDefault="005973B9" w:rsidP="005973B9">
      <w:pPr>
        <w:spacing w:line="204" w:lineRule="exact"/>
        <w:rPr>
          <w:rFonts w:ascii="Arial"/>
          <w:b/>
          <w:sz w:val="20"/>
        </w:rPr>
      </w:pPr>
      <w:r>
        <w:rPr>
          <w:rFonts w:ascii="Arial"/>
          <w:b/>
          <w:color w:val="BF5A14"/>
          <w:sz w:val="20"/>
        </w:rPr>
        <w:br/>
        <w:t>Recent Publications (minimum 5)</w:t>
      </w:r>
    </w:p>
    <w:p w:rsidR="00FA0469" w:rsidRPr="00FA0469" w:rsidRDefault="00FA0469" w:rsidP="00FA0469">
      <w:pPr>
        <w:pStyle w:val="ListParagraph"/>
        <w:numPr>
          <w:ilvl w:val="0"/>
          <w:numId w:val="4"/>
        </w:numPr>
        <w:rPr>
          <w:rFonts w:ascii="Times New Roman" w:eastAsia="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A0469">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FA0469">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HYPERLINK "https://pubmed.ncbi.nlm.nih.gov/?term=Vickers%20A%5BAuthor%5D" </w:instrText>
      </w:r>
      <w:r w:rsidRPr="00FA0469">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Pr="00FA0469">
        <w:rPr>
          <w:rStyle w:val="Hyperlink"/>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Andrew Vickers</w:t>
      </w:r>
      <w:r w:rsidRPr="00FA0469">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r w:rsidRPr="00FA0469">
        <w:rPr>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hyperlink r:id="rId9" w:history="1">
        <w:r w:rsidRPr="00FA0469">
          <w:rPr>
            <w:rStyle w:val="Hyperlink"/>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Angel Cronin</w:t>
        </w:r>
      </w:hyperlink>
      <w:r w:rsidRPr="00FA0469">
        <w:rPr>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hyperlink r:id="rId10" w:history="1">
        <w:r w:rsidRPr="00FA0469">
          <w:rPr>
            <w:rStyle w:val="Hyperlink"/>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Monique </w:t>
        </w:r>
        <w:proofErr w:type="spellStart"/>
        <w:r w:rsidRPr="00FA0469">
          <w:rPr>
            <w:rStyle w:val="Hyperlink"/>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Roobol</w:t>
        </w:r>
        <w:proofErr w:type="spellEnd"/>
      </w:hyperlink>
      <w:r w:rsidRPr="00FA0469">
        <w:rPr>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hyperlink r:id="rId11" w:history="1">
        <w:r w:rsidRPr="00FA0469">
          <w:rPr>
            <w:rStyle w:val="Hyperlink"/>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Caroline Savage</w:t>
        </w:r>
      </w:hyperlink>
      <w:r w:rsidRPr="00FA0469">
        <w:rPr>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hyperlink r:id="rId12" w:history="1">
        <w:r w:rsidRPr="00FA0469">
          <w:rPr>
            <w:rStyle w:val="Hyperlink"/>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Mari </w:t>
        </w:r>
        <w:proofErr w:type="spellStart"/>
        <w:r w:rsidRPr="00FA0469">
          <w:rPr>
            <w:rStyle w:val="Hyperlink"/>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Peltola</w:t>
        </w:r>
        <w:proofErr w:type="spellEnd"/>
      </w:hyperlink>
      <w:r w:rsidRPr="00FA0469">
        <w:rPr>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hyperlink r:id="rId13" w:history="1">
        <w:r w:rsidRPr="00FA0469">
          <w:rPr>
            <w:rStyle w:val="Hyperlink"/>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Kim </w:t>
        </w:r>
        <w:proofErr w:type="spellStart"/>
        <w:r w:rsidRPr="00FA0469">
          <w:rPr>
            <w:rStyle w:val="Hyperlink"/>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Pettersson</w:t>
        </w:r>
        <w:proofErr w:type="spellEnd"/>
      </w:hyperlink>
      <w:r w:rsidRPr="00FA0469">
        <w:rPr>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hyperlink r:id="rId14" w:history="1">
        <w:r w:rsidRPr="00FA0469">
          <w:rPr>
            <w:rStyle w:val="Hyperlink"/>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Peter T. Scardino</w:t>
        </w:r>
      </w:hyperlink>
      <w:r w:rsidRPr="00FA0469">
        <w:rPr>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hyperlink r:id="rId15" w:history="1">
        <w:r w:rsidRPr="00FA0469">
          <w:rPr>
            <w:rStyle w:val="Hyperlink"/>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Fritz </w:t>
        </w:r>
        <w:proofErr w:type="spellStart"/>
        <w:r w:rsidRPr="00FA0469">
          <w:rPr>
            <w:rStyle w:val="Hyperlink"/>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Schröder</w:t>
        </w:r>
        <w:proofErr w:type="spellEnd"/>
      </w:hyperlink>
      <w:r w:rsidRPr="00FA0469">
        <w:rPr>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and </w:t>
      </w:r>
      <w:hyperlink r:id="rId16" w:history="1">
        <w:r w:rsidRPr="00FA0469">
          <w:rPr>
            <w:rStyle w:val="Hyperlink"/>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Hans </w:t>
        </w:r>
        <w:proofErr w:type="spellStart"/>
        <w:r w:rsidRPr="00FA0469">
          <w:rPr>
            <w:rStyle w:val="Hyperlink"/>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Lilja</w:t>
        </w:r>
        <w:proofErr w:type="spellEnd"/>
      </w:hyperlink>
      <w: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FA0469">
        <w:rPr>
          <w:rFonts w:ascii="Times New Roman" w:hAnsi="Times New Roman" w:cs="Times New Roman"/>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Reducing</w:t>
      </w:r>
      <w:proofErr w:type="spellEnd"/>
      <w:r w:rsidRPr="00FA0469">
        <w:rPr>
          <w:rFonts w:ascii="Times New Roman" w:hAnsi="Times New Roman" w:cs="Times New Roman"/>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Unnecessary Biopsy During Prostate Cancer Screening Using a Four-Kallikrein Panel: An Independent Replication</w:t>
      </w:r>
      <w:r w:rsidRPr="00FA0469">
        <w:rPr>
          <w:rFonts w:ascii="Times New Roman" w:hAnsi="Times New Roman" w:cs="Times New Roman"/>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hyperlink r:id="rId17" w:history="1">
        <w:r w:rsidRPr="00FA0469">
          <w:rPr>
            <w:rStyle w:val="Hyperlink"/>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J </w:t>
        </w:r>
        <w:proofErr w:type="spellStart"/>
        <w:r w:rsidRPr="00FA0469">
          <w:rPr>
            <w:rStyle w:val="Hyperlink"/>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Clin</w:t>
        </w:r>
        <w:proofErr w:type="spellEnd"/>
        <w:r w:rsidRPr="00FA0469">
          <w:rPr>
            <w:rStyle w:val="Hyperlink"/>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Oncol.</w:t>
        </w:r>
      </w:hyperlink>
      <w:r w:rsidRPr="00FA0469">
        <w:rPr>
          <w:rFonts w:ascii="Times New Roman" w:hAnsi="Times New Roman" w:cs="Times New Roman"/>
          <w:color w:val="000000" w:themeColor="text1"/>
          <w:sz w:val="20"/>
          <w:szCs w:val="2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2010 ; 28(15): 2493–2498</w:t>
      </w:r>
    </w:p>
    <w:p w:rsidR="00FA0469" w:rsidRPr="00FA0469" w:rsidRDefault="00FA0469" w:rsidP="00FA0469">
      <w:pPr>
        <w:pStyle w:val="ListParagraph"/>
        <w:numPr>
          <w:ilvl w:val="0"/>
          <w:numId w:val="4"/>
        </w:numPr>
        <w:shd w:val="clear" w:color="auto" w:fill="FFFFFF"/>
        <w:spacing w:before="200" w:after="200"/>
        <w:rPr>
          <w:rFonts w:ascii="Times New Roman" w:eastAsia="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A0469">
        <w:rPr>
          <w:rFonts w:ascii="Cambria" w:hAnsi="Cambria"/>
          <w:color w:val="212121"/>
          <w:sz w:val="26"/>
          <w:szCs w:val="26"/>
        </w:rPr>
        <w:t> </w:t>
      </w:r>
      <w:proofErr w:type="spellStart"/>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Nurmikko</w:t>
      </w:r>
      <w:proofErr w:type="spellEnd"/>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 </w:t>
      </w:r>
      <w:proofErr w:type="spellStart"/>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Vaisanen</w:t>
      </w:r>
      <w:proofErr w:type="spellEnd"/>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 </w:t>
      </w:r>
      <w:proofErr w:type="spellStart"/>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Piironen</w:t>
      </w:r>
      <w:proofErr w:type="spellEnd"/>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 et al. Production and characterization of novel anti-prostate-specific antigen (PSA) monoclonal antibodies that do not detect internally cleaved Lys145-Lys146 inactive PSA. </w:t>
      </w:r>
      <w:proofErr w:type="spellStart"/>
      <w:r w:rsidRPr="00FA0469">
        <w:rPr>
          <w:rStyle w:val="ref-journal"/>
          <w:rFonts w:ascii="Times New Roman" w:hAnsi="Times New Roman" w:cs="Times New Roman"/>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Clin</w:t>
      </w:r>
      <w:proofErr w:type="spellEnd"/>
      <w:r w:rsidRPr="00FA0469">
        <w:rPr>
          <w:rStyle w:val="ref-journal"/>
          <w:rFonts w:ascii="Times New Roman" w:hAnsi="Times New Roman" w:cs="Times New Roman"/>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Chem. </w:t>
      </w:r>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2000;</w:t>
      </w:r>
      <w:r w:rsidRPr="00FA0469">
        <w:rPr>
          <w:rStyle w:val="ref-vol"/>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46</w:t>
      </w:r>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:1610–1618. </w:t>
      </w:r>
    </w:p>
    <w:p w:rsidR="00FA0469" w:rsidRPr="00FA0469" w:rsidRDefault="00FA0469" w:rsidP="00FA0469">
      <w:pPr>
        <w:pStyle w:val="ListParagraph"/>
        <w:numPr>
          <w:ilvl w:val="0"/>
          <w:numId w:val="4"/>
        </w:numPr>
        <w:shd w:val="clear" w:color="auto" w:fill="FFFFFF"/>
        <w:spacing w:before="200" w:after="20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Mikolajczyk</w:t>
      </w:r>
      <w:proofErr w:type="spellEnd"/>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SD, </w:t>
      </w:r>
      <w:proofErr w:type="spellStart"/>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Catalona</w:t>
      </w:r>
      <w:proofErr w:type="spellEnd"/>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WJ, Evans CL, et al. Proenzyme forms of prostate-specific antigen in serum improve the detection of prostate cancer. </w:t>
      </w:r>
      <w:proofErr w:type="spellStart"/>
      <w:r w:rsidRPr="00FA0469">
        <w:rPr>
          <w:rStyle w:val="ref-journal"/>
          <w:rFonts w:ascii="Times New Roman" w:hAnsi="Times New Roman" w:cs="Times New Roman"/>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Clin</w:t>
      </w:r>
      <w:proofErr w:type="spellEnd"/>
      <w:r w:rsidRPr="00FA0469">
        <w:rPr>
          <w:rStyle w:val="ref-journal"/>
          <w:rFonts w:ascii="Times New Roman" w:hAnsi="Times New Roman" w:cs="Times New Roman"/>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Chem. </w:t>
      </w:r>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2004;</w:t>
      </w:r>
      <w:r w:rsidRPr="00FA0469">
        <w:rPr>
          <w:rStyle w:val="ref-vol"/>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w:t>
      </w:r>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:1017–1025.</w:t>
      </w:r>
    </w:p>
    <w:p w:rsidR="00FA0469" w:rsidRPr="00FA0469" w:rsidRDefault="00FA0469" w:rsidP="00FA0469">
      <w:pPr>
        <w:pStyle w:val="ListParagraph"/>
        <w:numPr>
          <w:ilvl w:val="0"/>
          <w:numId w:val="4"/>
        </w:numPr>
        <w:shd w:val="clear" w:color="auto" w:fill="FFFFFF"/>
        <w:spacing w:before="200" w:after="20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Deras IL, Aubin SM, </w:t>
      </w:r>
      <w:proofErr w:type="spellStart"/>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Blase</w:t>
      </w:r>
      <w:proofErr w:type="spellEnd"/>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 et al. PCA3: A molecular urine assay for predicting prostate biopsy outcome. </w:t>
      </w:r>
      <w:r w:rsidRPr="00FA0469">
        <w:rPr>
          <w:rStyle w:val="ref-journal"/>
          <w:rFonts w:ascii="Times New Roman" w:hAnsi="Times New Roman" w:cs="Times New Roman"/>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 Urol. </w:t>
      </w:r>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2008;</w:t>
      </w:r>
      <w:r w:rsidRPr="00FA0469">
        <w:rPr>
          <w:rStyle w:val="ref-vol"/>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179</w:t>
      </w:r>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:1587–1592.</w:t>
      </w:r>
    </w:p>
    <w:p w:rsidR="00FA0469" w:rsidRPr="00FA0469" w:rsidRDefault="00FA0469" w:rsidP="00FA0469">
      <w:pPr>
        <w:pStyle w:val="ListParagraph"/>
        <w:numPr>
          <w:ilvl w:val="0"/>
          <w:numId w:val="4"/>
        </w:numPr>
        <w:shd w:val="clear" w:color="auto" w:fill="FFFFFF"/>
        <w:spacing w:before="200" w:after="20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Villanueva J, Shaffer DR, Philip J, et al. Differential </w:t>
      </w:r>
      <w:proofErr w:type="spellStart"/>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exoprotease</w:t>
      </w:r>
      <w:proofErr w:type="spellEnd"/>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activities confer tumor-specific serum peptidome patterns. </w:t>
      </w:r>
      <w:r w:rsidRPr="00FA0469">
        <w:rPr>
          <w:rStyle w:val="ref-journal"/>
          <w:rFonts w:ascii="Times New Roman" w:hAnsi="Times New Roman" w:cs="Times New Roman"/>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J </w:t>
      </w:r>
      <w:proofErr w:type="spellStart"/>
      <w:r w:rsidRPr="00FA0469">
        <w:rPr>
          <w:rStyle w:val="ref-journal"/>
          <w:rFonts w:ascii="Times New Roman" w:hAnsi="Times New Roman" w:cs="Times New Roman"/>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Clin</w:t>
      </w:r>
      <w:proofErr w:type="spellEnd"/>
      <w:r w:rsidRPr="00FA0469">
        <w:rPr>
          <w:rStyle w:val="ref-journal"/>
          <w:rFonts w:ascii="Times New Roman" w:hAnsi="Times New Roman" w:cs="Times New Roman"/>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Invest. </w:t>
      </w:r>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2006;</w:t>
      </w:r>
      <w:r w:rsidRPr="00FA0469">
        <w:rPr>
          <w:rStyle w:val="ref-vol"/>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116</w:t>
      </w:r>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:271–284.</w:t>
      </w:r>
    </w:p>
    <w:p w:rsidR="00FA0469" w:rsidRPr="00FA0469" w:rsidRDefault="00FA0469" w:rsidP="00FA0469">
      <w:pPr>
        <w:pStyle w:val="ListParagraph"/>
        <w:numPr>
          <w:ilvl w:val="0"/>
          <w:numId w:val="4"/>
        </w:numPr>
        <w:shd w:val="clear" w:color="auto" w:fill="FFFFFF"/>
        <w:spacing w:before="200" w:after="200"/>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Vickers AJ, Cronin AM, </w:t>
      </w:r>
      <w:proofErr w:type="spellStart"/>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Aus</w:t>
      </w:r>
      <w:proofErr w:type="spellEnd"/>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 et al. Impact of recent screening on predicting the outcome of prostate cancer biopsy in men with elevated PSA: Data from the European Randomized Study of Prostate Cancer Screening in </w:t>
      </w:r>
      <w:proofErr w:type="spellStart"/>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Göteborg</w:t>
      </w:r>
      <w:proofErr w:type="spellEnd"/>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Sweden. </w:t>
      </w:r>
      <w:r w:rsidRPr="00FA0469">
        <w:rPr>
          <w:rStyle w:val="ref-journal"/>
          <w:rFonts w:ascii="Times New Roman" w:hAnsi="Times New Roman" w:cs="Times New Roman"/>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Cancer. </w:t>
      </w:r>
      <w:r w:rsidRPr="00FA0469">
        <w:rPr>
          <w:rStyle w:val="element-citation"/>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press.</w:t>
      </w:r>
    </w:p>
    <w:p w:rsidR="00FA0469" w:rsidRPr="00FA0469" w:rsidRDefault="00FA0469" w:rsidP="00FA0469">
      <w:pPr>
        <w:pStyle w:val="ListParagraph"/>
        <w:numPr>
          <w:ilvl w:val="0"/>
          <w:numId w:val="4"/>
        </w:numPr>
        <w:rPr>
          <w:rFonts w:ascii="Times New Roman" w:eastAsia="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FA0469" w:rsidRPr="00FA0469" w:rsidRDefault="00FA0469" w:rsidP="00FA0469">
      <w:pPr>
        <w:pStyle w:val="Heading1"/>
        <w:shd w:val="clear" w:color="auto" w:fill="FFFFFF"/>
        <w:spacing w:before="400" w:after="200" w:line="450" w:lineRule="atLeast"/>
        <w:rPr>
          <w:rFonts w:ascii="Cambria" w:eastAsia="Times New Roman" w:hAnsi="Cambria" w:cs="Times New Roman"/>
          <w:b w:val="0"/>
          <w:bCs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D3437D">
        <w:rPr>
          <w:rFonts w:ascii="Arial"/>
          <w:noProof/>
        </w:rPr>
        <w:drawing>
          <wp:inline distT="0" distB="0" distL="0" distR="0" wp14:anchorId="736BF6B6" wp14:editId="0FE491AA">
            <wp:extent cx="480907" cy="616921"/>
            <wp:effectExtent l="0" t="0" r="190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L7261       CD (3).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91294" cy="630245"/>
                    </a:xfrm>
                    <a:prstGeom prst="rect">
                      <a:avLst/>
                    </a:prstGeom>
                  </pic:spPr>
                </pic:pic>
              </a:graphicData>
            </a:graphic>
          </wp:inline>
        </w:drawing>
      </w:r>
      <w:r>
        <w:rPr>
          <w:noProof/>
        </w:rPr>
        <w:t xml:space="preserve">    </w:t>
      </w:r>
      <w:r w:rsidR="00EC0F82">
        <w:rPr>
          <w:noProof/>
        </w:rPr>
        <w:t xml:space="preserve"> </w:t>
      </w:r>
      <w:r w:rsidR="00A9710C">
        <w:rPr>
          <w:rFonts w:ascii="Arial"/>
          <w:color w:val="BF5A14"/>
        </w:rPr>
        <w:t>Biography</w:t>
      </w:r>
      <w:r w:rsidR="00404E5B">
        <w:rPr>
          <w:rFonts w:ascii="Arial"/>
          <w:color w:val="BF5A14"/>
        </w:rPr>
        <w:t xml:space="preserve"> (150 word limit)</w:t>
      </w:r>
    </w:p>
    <w:p w:rsidR="00AE3E37" w:rsidRDefault="00A9710C" w:rsidP="00D3437D">
      <w:pPr>
        <w:spacing w:before="41" w:line="154" w:lineRule="exact"/>
        <w:ind w:left="213" w:right="231"/>
        <w:jc w:val="both"/>
        <w:rPr>
          <w:rFonts w:ascii="Arial"/>
          <w:sz w:val="14"/>
        </w:rPr>
      </w:pPr>
      <w:proofErr w:type="spellStart"/>
      <w:r>
        <w:rPr>
          <w:rFonts w:ascii="Arial"/>
          <w:sz w:val="14"/>
        </w:rPr>
        <w:t>D</w:t>
      </w:r>
      <w:r w:rsidR="0078738A">
        <w:rPr>
          <w:rFonts w:ascii="Arial"/>
          <w:sz w:val="14"/>
        </w:rPr>
        <w:t>r</w:t>
      </w:r>
      <w:proofErr w:type="spellEnd"/>
      <w:r w:rsidR="0078738A">
        <w:rPr>
          <w:rFonts w:ascii="Arial"/>
          <w:sz w:val="14"/>
        </w:rPr>
        <w:t xml:space="preserve"> </w:t>
      </w:r>
      <w:proofErr w:type="spellStart"/>
      <w:r w:rsidR="00D3437D">
        <w:rPr>
          <w:rFonts w:ascii="Arial"/>
          <w:sz w:val="14"/>
        </w:rPr>
        <w:t>jatin</w:t>
      </w:r>
      <w:proofErr w:type="spellEnd"/>
      <w:r w:rsidR="00D3437D">
        <w:rPr>
          <w:rFonts w:ascii="Arial"/>
          <w:sz w:val="14"/>
        </w:rPr>
        <w:t xml:space="preserve"> </w:t>
      </w:r>
      <w:proofErr w:type="spellStart"/>
      <w:r w:rsidR="00D3437D">
        <w:rPr>
          <w:rFonts w:ascii="Arial"/>
          <w:sz w:val="14"/>
        </w:rPr>
        <w:t>soni</w:t>
      </w:r>
      <w:proofErr w:type="spellEnd"/>
      <w:r w:rsidR="00D3437D">
        <w:rPr>
          <w:rFonts w:ascii="Arial"/>
          <w:sz w:val="14"/>
        </w:rPr>
        <w:t xml:space="preserve"> has</w:t>
      </w:r>
      <w:r>
        <w:rPr>
          <w:rFonts w:ascii="Arial"/>
          <w:sz w:val="14"/>
        </w:rPr>
        <w:t xml:space="preserve"> h</w:t>
      </w:r>
      <w:r w:rsidR="00D3437D">
        <w:rPr>
          <w:rFonts w:ascii="Arial"/>
          <w:sz w:val="14"/>
        </w:rPr>
        <w:t>is</w:t>
      </w:r>
      <w:r>
        <w:rPr>
          <w:rFonts w:ascii="Arial"/>
          <w:sz w:val="14"/>
        </w:rPr>
        <w:t xml:space="preserve"> expertise in evaluation and </w:t>
      </w:r>
      <w:r w:rsidR="00D3437D">
        <w:rPr>
          <w:rFonts w:ascii="Arial"/>
          <w:sz w:val="14"/>
        </w:rPr>
        <w:t xml:space="preserve">management of </w:t>
      </w:r>
      <w:proofErr w:type="spellStart"/>
      <w:r w:rsidR="00D3437D">
        <w:rPr>
          <w:rFonts w:ascii="Arial"/>
          <w:sz w:val="14"/>
        </w:rPr>
        <w:t>uro</w:t>
      </w:r>
      <w:proofErr w:type="spellEnd"/>
      <w:r w:rsidR="00D3437D">
        <w:rPr>
          <w:rFonts w:ascii="Arial"/>
          <w:sz w:val="14"/>
        </w:rPr>
        <w:t xml:space="preserve"> oncology, endo urology, renal transplantation, MIS patients. he is practicing urology for last six years. He has been part of many national </w:t>
      </w:r>
      <w:proofErr w:type="spellStart"/>
      <w:r w:rsidR="00D3437D">
        <w:rPr>
          <w:rFonts w:ascii="Arial"/>
          <w:sz w:val="14"/>
        </w:rPr>
        <w:t>internation</w:t>
      </w:r>
      <w:proofErr w:type="spellEnd"/>
      <w:r w:rsidR="00D3437D">
        <w:rPr>
          <w:rFonts w:ascii="Arial"/>
          <w:sz w:val="14"/>
        </w:rPr>
        <w:t xml:space="preserve"> conferences. He has presented various paper at national and international conferences. So far he has been part of many </w:t>
      </w:r>
      <w:proofErr w:type="spellStart"/>
      <w:r w:rsidR="00D3437D">
        <w:rPr>
          <w:rFonts w:ascii="Arial"/>
          <w:sz w:val="14"/>
        </w:rPr>
        <w:t>pubmed</w:t>
      </w:r>
      <w:proofErr w:type="spellEnd"/>
      <w:r w:rsidR="00D3437D">
        <w:rPr>
          <w:rFonts w:ascii="Arial"/>
          <w:sz w:val="14"/>
        </w:rPr>
        <w:t xml:space="preserve"> indexed articles. He is an associate member of </w:t>
      </w:r>
      <w:r w:rsidR="00EC0F82">
        <w:rPr>
          <w:rFonts w:ascii="Arial"/>
          <w:sz w:val="14"/>
        </w:rPr>
        <w:t>AUA, UAA, USI.</w:t>
      </w:r>
    </w:p>
    <w:p w:rsidR="00AE3E37" w:rsidRDefault="00A9710C">
      <w:pPr>
        <w:spacing w:before="62"/>
        <w:ind w:left="4217" w:right="4235"/>
        <w:jc w:val="center"/>
        <w:rPr>
          <w:rFonts w:ascii="Arial"/>
          <w:sz w:val="14"/>
        </w:rPr>
      </w:pPr>
      <w:r>
        <w:rPr>
          <w:rFonts w:ascii="Arial"/>
          <w:sz w:val="14"/>
        </w:rPr>
        <w:t xml:space="preserve">Email: </w:t>
      </w:r>
      <w:r w:rsidR="00EC0F82">
        <w:lastRenderedPageBreak/>
        <w:t>docjatinsoni1986@gmail.com</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3536" w:rsidRDefault="00F73536">
      <w:r>
        <w:separator/>
      </w:r>
    </w:p>
  </w:endnote>
  <w:endnote w:type="continuationSeparator" w:id="0">
    <w:p w:rsidR="00F73536" w:rsidRDefault="00F73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3536" w:rsidRDefault="00F73536">
      <w:r>
        <w:separator/>
      </w:r>
    </w:p>
  </w:footnote>
  <w:footnote w:type="continuationSeparator" w:id="0">
    <w:p w:rsidR="00F73536" w:rsidRDefault="00F735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1015EB4"/>
    <w:multiLevelType w:val="hybridMultilevel"/>
    <w:tmpl w:val="B818E7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7"/>
  <w:doNotDisplayPageBoundaries/>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E3E37"/>
    <w:rsid w:val="00B21A57"/>
    <w:rsid w:val="00C33602"/>
    <w:rsid w:val="00CD6F55"/>
    <w:rsid w:val="00D3437D"/>
    <w:rsid w:val="00D62425"/>
    <w:rsid w:val="00DE3104"/>
    <w:rsid w:val="00EC0F82"/>
    <w:rsid w:val="00F72EEA"/>
    <w:rsid w:val="00F73536"/>
    <w:rsid w:val="00F8136A"/>
    <w:rsid w:val="00F84CAE"/>
    <w:rsid w:val="00FA04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5517AF"/>
  <w15:docId w15:val="{FCD04C44-16CC-2D4F-BA61-5D73A4D54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9"/>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basedOn w:val="DefaultParagraphFont"/>
    <w:link w:val="Heading1"/>
    <w:uiPriority w:val="9"/>
    <w:rsid w:val="00FA0469"/>
    <w:rPr>
      <w:rFonts w:ascii="Minion Pro" w:eastAsia="Minion Pro" w:hAnsi="Minion Pro" w:cs="Minion Pro"/>
      <w:b/>
      <w:bCs/>
      <w:sz w:val="36"/>
      <w:szCs w:val="36"/>
    </w:rPr>
  </w:style>
  <w:style w:type="character" w:styleId="FollowedHyperlink">
    <w:name w:val="FollowedHyperlink"/>
    <w:basedOn w:val="DefaultParagraphFont"/>
    <w:uiPriority w:val="99"/>
    <w:semiHidden/>
    <w:unhideWhenUsed/>
    <w:rsid w:val="00FA0469"/>
    <w:rPr>
      <w:color w:val="800080" w:themeColor="followedHyperlink"/>
      <w:u w:val="single"/>
    </w:rPr>
  </w:style>
  <w:style w:type="character" w:customStyle="1" w:styleId="element-citation">
    <w:name w:val="element-citation"/>
    <w:basedOn w:val="DefaultParagraphFont"/>
    <w:rsid w:val="00FA0469"/>
  </w:style>
  <w:style w:type="character" w:customStyle="1" w:styleId="ref-journal">
    <w:name w:val="ref-journal"/>
    <w:basedOn w:val="DefaultParagraphFont"/>
    <w:rsid w:val="00FA0469"/>
  </w:style>
  <w:style w:type="character" w:customStyle="1" w:styleId="ref-vol">
    <w:name w:val="ref-vol"/>
    <w:basedOn w:val="DefaultParagraphFont"/>
    <w:rsid w:val="00FA0469"/>
  </w:style>
  <w:style w:type="character" w:customStyle="1" w:styleId="nowrap">
    <w:name w:val="nowrap"/>
    <w:basedOn w:val="DefaultParagraphFont"/>
    <w:rsid w:val="00FA04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409404">
      <w:bodyDiv w:val="1"/>
      <w:marLeft w:val="0"/>
      <w:marRight w:val="0"/>
      <w:marTop w:val="0"/>
      <w:marBottom w:val="0"/>
      <w:divBdr>
        <w:top w:val="none" w:sz="0" w:space="0" w:color="auto"/>
        <w:left w:val="none" w:sz="0" w:space="0" w:color="auto"/>
        <w:bottom w:val="none" w:sz="0" w:space="0" w:color="auto"/>
        <w:right w:val="none" w:sz="0" w:space="0" w:color="auto"/>
      </w:divBdr>
    </w:div>
    <w:div w:id="29996762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9878160">
      <w:bodyDiv w:val="1"/>
      <w:marLeft w:val="0"/>
      <w:marRight w:val="0"/>
      <w:marTop w:val="0"/>
      <w:marBottom w:val="0"/>
      <w:divBdr>
        <w:top w:val="none" w:sz="0" w:space="0" w:color="auto"/>
        <w:left w:val="none" w:sz="0" w:space="0" w:color="auto"/>
        <w:bottom w:val="none" w:sz="0" w:space="0" w:color="auto"/>
        <w:right w:val="none" w:sz="0" w:space="0" w:color="auto"/>
      </w:divBdr>
      <w:divsChild>
        <w:div w:id="1361593412">
          <w:marLeft w:val="0"/>
          <w:marRight w:val="0"/>
          <w:marTop w:val="200"/>
          <w:marBottom w:val="200"/>
          <w:divBdr>
            <w:top w:val="none" w:sz="0" w:space="0" w:color="auto"/>
            <w:left w:val="none" w:sz="0" w:space="0" w:color="auto"/>
            <w:bottom w:val="none" w:sz="0" w:space="0" w:color="auto"/>
            <w:right w:val="none" w:sz="0" w:space="0" w:color="auto"/>
          </w:divBdr>
        </w:div>
        <w:div w:id="150606355">
          <w:marLeft w:val="0"/>
          <w:marRight w:val="0"/>
          <w:marTop w:val="200"/>
          <w:marBottom w:val="200"/>
          <w:divBdr>
            <w:top w:val="none" w:sz="0" w:space="0" w:color="auto"/>
            <w:left w:val="none" w:sz="0" w:space="0" w:color="auto"/>
            <w:bottom w:val="none" w:sz="0" w:space="0" w:color="auto"/>
            <w:right w:val="none" w:sz="0" w:space="0" w:color="auto"/>
          </w:divBdr>
        </w:div>
        <w:div w:id="1597667696">
          <w:marLeft w:val="0"/>
          <w:marRight w:val="0"/>
          <w:marTop w:val="200"/>
          <w:marBottom w:val="200"/>
          <w:divBdr>
            <w:top w:val="none" w:sz="0" w:space="0" w:color="auto"/>
            <w:left w:val="none" w:sz="0" w:space="0" w:color="auto"/>
            <w:bottom w:val="none" w:sz="0" w:space="0" w:color="auto"/>
            <w:right w:val="none" w:sz="0" w:space="0" w:color="auto"/>
          </w:divBdr>
        </w:div>
        <w:div w:id="2060279548">
          <w:marLeft w:val="0"/>
          <w:marRight w:val="0"/>
          <w:marTop w:val="200"/>
          <w:marBottom w:val="200"/>
          <w:divBdr>
            <w:top w:val="none" w:sz="0" w:space="0" w:color="auto"/>
            <w:left w:val="none" w:sz="0" w:space="0" w:color="auto"/>
            <w:bottom w:val="none" w:sz="0" w:space="0" w:color="auto"/>
            <w:right w:val="none" w:sz="0" w:space="0" w:color="auto"/>
          </w:divBdr>
        </w:div>
        <w:div w:id="462430816">
          <w:marLeft w:val="0"/>
          <w:marRight w:val="0"/>
          <w:marTop w:val="200"/>
          <w:marBottom w:val="200"/>
          <w:divBdr>
            <w:top w:val="none" w:sz="0" w:space="0" w:color="auto"/>
            <w:left w:val="none" w:sz="0" w:space="0" w:color="auto"/>
            <w:bottom w:val="none" w:sz="0" w:space="0" w:color="auto"/>
            <w:right w:val="none" w:sz="0" w:space="0" w:color="auto"/>
          </w:divBdr>
        </w:div>
      </w:divsChild>
    </w:div>
    <w:div w:id="20917791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pubmed.ncbi.nlm.nih.gov/?term=Pettersson%20K%5BAuthor%5D" TargetMode="External"/><Relationship Id="rId1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pubmed.ncbi.nlm.nih.gov/?term=Peltola%20M%5BAuthor%5D" TargetMode="External"/><Relationship Id="rId17" Type="http://schemas.openxmlformats.org/officeDocument/2006/relationships/hyperlink" Target="https://www.ncbi.nlm.nih.gov/pmc/articles/PMC2881727/" TargetMode="External"/><Relationship Id="rId2" Type="http://schemas.openxmlformats.org/officeDocument/2006/relationships/styles" Target="styles.xml"/><Relationship Id="rId16" Type="http://schemas.openxmlformats.org/officeDocument/2006/relationships/hyperlink" Target="https://pubmed.ncbi.nlm.nih.gov/?term=Lilja%20H%5BAuthor%5D"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ubmed.ncbi.nlm.nih.gov/?term=Savage%20C%5BAuthor%5D" TargetMode="External"/><Relationship Id="rId5" Type="http://schemas.openxmlformats.org/officeDocument/2006/relationships/footnotes" Target="footnotes.xml"/><Relationship Id="rId15" Type="http://schemas.openxmlformats.org/officeDocument/2006/relationships/hyperlink" Target="https://pubmed.ncbi.nlm.nih.gov/?term=Schr%C3%B6der%20F%5BAuthor%5D" TargetMode="External"/><Relationship Id="rId10" Type="http://schemas.openxmlformats.org/officeDocument/2006/relationships/hyperlink" Target="https://pubmed.ncbi.nlm.nih.gov/?term=Roobol%20M%5BAuthor%5D"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ubmed.ncbi.nlm.nih.gov/?term=Cronin%20A%5BAuthor%5D" TargetMode="External"/><Relationship Id="rId14" Type="http://schemas.openxmlformats.org/officeDocument/2006/relationships/hyperlink" Target="https://pubmed.ncbi.nlm.nih.gov/?term=Scardino%20PT%5BAuthor%5D"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709</Words>
  <Characters>4043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5</cp:revision>
  <dcterms:created xsi:type="dcterms:W3CDTF">2016-08-31T13:10:00Z</dcterms:created>
  <dcterms:modified xsi:type="dcterms:W3CDTF">2022-07-01T19:12:00Z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