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3B6" w:rsidRPr="00E323B6" w:rsidRDefault="00E323B6" w:rsidP="00E323B6">
      <w:pPr>
        <w:spacing w:before="43" w:after="43" w:line="240" w:lineRule="auto"/>
        <w:rPr>
          <w:rFonts w:ascii="Arial" w:eastAsia="Times New Roman" w:hAnsi="Arial" w:cs="Arial"/>
          <w:color w:val="000000"/>
          <w:sz w:val="32"/>
          <w:szCs w:val="32"/>
          <w:lang w:val="en" w:eastAsia="fr-FR"/>
        </w:rPr>
      </w:pPr>
    </w:p>
    <w:p w:rsidR="00E323B6" w:rsidRDefault="00E323B6" w:rsidP="00E323B6">
      <w:pPr>
        <w:spacing w:before="43" w:after="43" w:line="240" w:lineRule="auto"/>
        <w:rPr>
          <w:rFonts w:ascii="Arial" w:eastAsia="Times New Roman" w:hAnsi="Arial" w:cs="Arial"/>
          <w:b/>
          <w:sz w:val="44"/>
          <w:szCs w:val="44"/>
          <w:u w:val="single"/>
          <w:lang w:val="en" w:eastAsia="fr-FR"/>
        </w:rPr>
      </w:pPr>
      <w:hyperlink r:id="rId7" w:history="1">
        <w:r w:rsidRPr="0053146B">
          <w:rPr>
            <w:rFonts w:ascii="Arial" w:eastAsia="Times New Roman" w:hAnsi="Arial" w:cs="Arial"/>
            <w:b/>
            <w:sz w:val="44"/>
            <w:szCs w:val="44"/>
            <w:u w:val="single"/>
            <w:lang w:val="en" w:eastAsia="fr-FR"/>
          </w:rPr>
          <w:t xml:space="preserve"> </w:t>
        </w:r>
        <w:r w:rsidRPr="0053146B">
          <w:rPr>
            <w:rFonts w:ascii="Arial" w:eastAsia="Times New Roman" w:hAnsi="Arial" w:cs="Arial"/>
            <w:b/>
            <w:bCs/>
            <w:sz w:val="44"/>
            <w:szCs w:val="44"/>
            <w:u w:val="single"/>
            <w:lang w:val="en" w:eastAsia="fr-FR"/>
          </w:rPr>
          <w:t>Iodinated</w:t>
        </w:r>
        <w:r w:rsidRPr="0053146B">
          <w:rPr>
            <w:rFonts w:ascii="Arial" w:eastAsia="Times New Roman" w:hAnsi="Arial" w:cs="Arial"/>
            <w:b/>
            <w:sz w:val="44"/>
            <w:szCs w:val="44"/>
            <w:u w:val="single"/>
            <w:lang w:val="en" w:eastAsia="fr-FR"/>
          </w:rPr>
          <w:t xml:space="preserve"> </w:t>
        </w:r>
        <w:r w:rsidRPr="0053146B">
          <w:rPr>
            <w:rFonts w:ascii="Arial" w:eastAsia="Times New Roman" w:hAnsi="Arial" w:cs="Arial"/>
            <w:b/>
            <w:bCs/>
            <w:sz w:val="44"/>
            <w:szCs w:val="44"/>
            <w:u w:val="single"/>
            <w:lang w:val="en" w:eastAsia="fr-FR"/>
          </w:rPr>
          <w:t>Contrast</w:t>
        </w:r>
        <w:r w:rsidRPr="0053146B">
          <w:rPr>
            <w:rFonts w:ascii="Arial" w:eastAsia="Times New Roman" w:hAnsi="Arial" w:cs="Arial"/>
            <w:b/>
            <w:sz w:val="44"/>
            <w:szCs w:val="44"/>
            <w:u w:val="single"/>
            <w:lang w:val="en" w:eastAsia="fr-FR"/>
          </w:rPr>
          <w:t xml:space="preserve"> Agents</w:t>
        </w:r>
      </w:hyperlink>
      <w:r w:rsidRPr="0053146B">
        <w:rPr>
          <w:rFonts w:ascii="Arial" w:eastAsia="Times New Roman" w:hAnsi="Arial" w:cs="Arial"/>
          <w:b/>
          <w:sz w:val="44"/>
          <w:szCs w:val="44"/>
          <w:u w:val="single"/>
          <w:lang w:val="en" w:eastAsia="fr-FR"/>
        </w:rPr>
        <w:t xml:space="preserve"> and renal risk</w:t>
      </w:r>
    </w:p>
    <w:p w:rsidR="0053146B" w:rsidRPr="0053146B" w:rsidRDefault="0053146B" w:rsidP="00E323B6">
      <w:pPr>
        <w:spacing w:before="43" w:after="43" w:line="240" w:lineRule="auto"/>
        <w:rPr>
          <w:rFonts w:ascii="Arial" w:eastAsia="Times New Roman" w:hAnsi="Arial" w:cs="Arial"/>
          <w:b/>
          <w:sz w:val="32"/>
          <w:szCs w:val="32"/>
          <w:u w:val="single"/>
          <w:lang w:val="en" w:eastAsia="fr-FR"/>
        </w:rPr>
      </w:pPr>
      <w:r w:rsidRPr="0053146B">
        <w:rPr>
          <w:rFonts w:ascii="Arial" w:eastAsia="Times New Roman" w:hAnsi="Arial" w:cs="Arial"/>
          <w:b/>
          <w:sz w:val="32"/>
          <w:szCs w:val="32"/>
          <w:u w:val="single"/>
          <w:lang w:val="en" w:eastAsia="fr-FR"/>
        </w:rPr>
        <w:t>Pr Kais Harzallah</w:t>
      </w:r>
    </w:p>
    <w:p w:rsidR="0053146B" w:rsidRPr="0053146B" w:rsidRDefault="0053146B" w:rsidP="00E323B6">
      <w:pPr>
        <w:spacing w:before="43" w:after="43" w:line="240" w:lineRule="auto"/>
        <w:rPr>
          <w:rFonts w:ascii="Arial" w:eastAsia="Times New Roman" w:hAnsi="Arial" w:cs="Arial"/>
          <w:b/>
          <w:color w:val="000000"/>
          <w:sz w:val="32"/>
          <w:szCs w:val="32"/>
          <w:u w:val="single"/>
          <w:lang w:val="en" w:eastAsia="fr-FR"/>
        </w:rPr>
      </w:pPr>
      <w:r w:rsidRPr="0053146B">
        <w:rPr>
          <w:rFonts w:ascii="Arial" w:eastAsia="Times New Roman" w:hAnsi="Arial" w:cs="Arial"/>
          <w:b/>
          <w:sz w:val="32"/>
          <w:szCs w:val="32"/>
          <w:u w:val="single"/>
          <w:lang w:val="en" w:eastAsia="fr-FR"/>
        </w:rPr>
        <w:t>Nephrologist, International Clinic Hannibal, Tunis , Tunisia</w:t>
      </w:r>
    </w:p>
    <w:p w:rsidR="00E323B6" w:rsidRDefault="00E323B6">
      <w:pPr>
        <w:rPr>
          <w:sz w:val="32"/>
          <w:szCs w:val="32"/>
        </w:rPr>
      </w:pPr>
    </w:p>
    <w:p w:rsidR="00293CFA" w:rsidRDefault="00175897">
      <w:pPr>
        <w:rPr>
          <w:sz w:val="32"/>
          <w:szCs w:val="32"/>
        </w:rPr>
      </w:pPr>
      <w:r w:rsidRPr="00175897">
        <w:rPr>
          <w:sz w:val="32"/>
          <w:szCs w:val="32"/>
        </w:rPr>
        <w:t xml:space="preserve">Iodinated contrast agents are a major cause of acute </w:t>
      </w:r>
      <w:r>
        <w:rPr>
          <w:sz w:val="32"/>
          <w:szCs w:val="32"/>
        </w:rPr>
        <w:t>kidney injury</w:t>
      </w:r>
      <w:r w:rsidRPr="00175897">
        <w:rPr>
          <w:sz w:val="32"/>
          <w:szCs w:val="32"/>
        </w:rPr>
        <w:t xml:space="preserve">. </w:t>
      </w:r>
      <w:r>
        <w:rPr>
          <w:sz w:val="32"/>
          <w:szCs w:val="32"/>
        </w:rPr>
        <w:t>E</w:t>
      </w:r>
      <w:r w:rsidRPr="00175897">
        <w:rPr>
          <w:sz w:val="32"/>
          <w:szCs w:val="32"/>
        </w:rPr>
        <w:t xml:space="preserve">ven transient impact on the kidneys may be responsible </w:t>
      </w:r>
      <w:r>
        <w:rPr>
          <w:sz w:val="32"/>
          <w:szCs w:val="32"/>
        </w:rPr>
        <w:t>of</w:t>
      </w:r>
      <w:r w:rsidRPr="00175897">
        <w:rPr>
          <w:sz w:val="32"/>
          <w:szCs w:val="32"/>
        </w:rPr>
        <w:t xml:space="preserve"> an increase in cardiovascular events and in mortality. Iodinated contrast media have undergone a significant evolution of their structure</w:t>
      </w:r>
      <w:r>
        <w:rPr>
          <w:sz w:val="32"/>
          <w:szCs w:val="32"/>
        </w:rPr>
        <w:t xml:space="preserve"> since </w:t>
      </w:r>
      <w:r w:rsidRPr="00175897">
        <w:rPr>
          <w:sz w:val="32"/>
          <w:szCs w:val="32"/>
        </w:rPr>
        <w:t>1950 to move from h</w:t>
      </w:r>
      <w:r>
        <w:rPr>
          <w:sz w:val="32"/>
          <w:szCs w:val="32"/>
        </w:rPr>
        <w:t>igh-osmolar</w:t>
      </w:r>
      <w:r w:rsidRPr="00175897">
        <w:rPr>
          <w:sz w:val="32"/>
          <w:szCs w:val="32"/>
        </w:rPr>
        <w:t xml:space="preserve">, to </w:t>
      </w:r>
      <w:r>
        <w:rPr>
          <w:sz w:val="32"/>
          <w:szCs w:val="32"/>
        </w:rPr>
        <w:t>low-</w:t>
      </w:r>
      <w:r w:rsidRPr="00175897">
        <w:rPr>
          <w:sz w:val="32"/>
          <w:szCs w:val="32"/>
        </w:rPr>
        <w:t>osmolar to iso</w:t>
      </w:r>
      <w:r>
        <w:rPr>
          <w:sz w:val="32"/>
          <w:szCs w:val="32"/>
        </w:rPr>
        <w:t>-o</w:t>
      </w:r>
      <w:r w:rsidRPr="00175897">
        <w:rPr>
          <w:sz w:val="32"/>
          <w:szCs w:val="32"/>
        </w:rPr>
        <w:t>molar.</w:t>
      </w:r>
      <w:r>
        <w:rPr>
          <w:sz w:val="32"/>
          <w:szCs w:val="32"/>
        </w:rPr>
        <w:t xml:space="preserve"> </w:t>
      </w:r>
      <w:r w:rsidRPr="00175897">
        <w:rPr>
          <w:sz w:val="32"/>
          <w:szCs w:val="32"/>
        </w:rPr>
        <w:t xml:space="preserve">In addition to osmolality, viscosity has </w:t>
      </w:r>
      <w:r>
        <w:rPr>
          <w:sz w:val="32"/>
          <w:szCs w:val="32"/>
        </w:rPr>
        <w:t xml:space="preserve">certainly </w:t>
      </w:r>
      <w:r w:rsidRPr="00175897">
        <w:rPr>
          <w:sz w:val="32"/>
          <w:szCs w:val="32"/>
        </w:rPr>
        <w:t xml:space="preserve">a significant impact on the occurrence of iodinated contrast media toxicity. Risk factors for </w:t>
      </w:r>
      <w:r>
        <w:rPr>
          <w:sz w:val="32"/>
          <w:szCs w:val="32"/>
        </w:rPr>
        <w:t xml:space="preserve">contrast-induced </w:t>
      </w:r>
      <w:r w:rsidRPr="00175897">
        <w:rPr>
          <w:sz w:val="32"/>
          <w:szCs w:val="32"/>
        </w:rPr>
        <w:t>nephropathy</w:t>
      </w:r>
      <w:r>
        <w:rPr>
          <w:sz w:val="32"/>
          <w:szCs w:val="32"/>
        </w:rPr>
        <w:t xml:space="preserve"> (CIN)</w:t>
      </w:r>
      <w:r w:rsidRPr="00175897">
        <w:rPr>
          <w:sz w:val="32"/>
          <w:szCs w:val="32"/>
        </w:rPr>
        <w:t xml:space="preserve"> include advanced age, congestive heart failure, </w:t>
      </w:r>
      <w:r>
        <w:rPr>
          <w:sz w:val="32"/>
          <w:szCs w:val="32"/>
        </w:rPr>
        <w:t xml:space="preserve">nephrotoxic </w:t>
      </w:r>
      <w:r w:rsidRPr="00175897">
        <w:rPr>
          <w:sz w:val="32"/>
          <w:szCs w:val="32"/>
        </w:rPr>
        <w:t xml:space="preserve">drugs, or </w:t>
      </w:r>
      <w:r>
        <w:rPr>
          <w:sz w:val="32"/>
          <w:szCs w:val="32"/>
        </w:rPr>
        <w:t xml:space="preserve">diabetes </w:t>
      </w:r>
      <w:r w:rsidRPr="00175897">
        <w:rPr>
          <w:sz w:val="32"/>
          <w:szCs w:val="32"/>
        </w:rPr>
        <w:t xml:space="preserve">associated </w:t>
      </w:r>
      <w:r>
        <w:rPr>
          <w:sz w:val="32"/>
          <w:szCs w:val="32"/>
        </w:rPr>
        <w:t>with chronic kidney disease</w:t>
      </w:r>
      <w:r w:rsidRPr="00175897">
        <w:rPr>
          <w:sz w:val="32"/>
          <w:szCs w:val="32"/>
        </w:rPr>
        <w:t xml:space="preserve">. The prevention of </w:t>
      </w:r>
      <w:r>
        <w:rPr>
          <w:sz w:val="32"/>
          <w:szCs w:val="32"/>
        </w:rPr>
        <w:t>CIN</w:t>
      </w:r>
      <w:r w:rsidRPr="00175897">
        <w:rPr>
          <w:sz w:val="32"/>
          <w:szCs w:val="32"/>
        </w:rPr>
        <w:t xml:space="preserve"> is especially recommended when the glomerular filtration rate is </w:t>
      </w:r>
      <w:r w:rsidR="005E0354">
        <w:rPr>
          <w:sz w:val="32"/>
          <w:szCs w:val="32"/>
        </w:rPr>
        <w:t xml:space="preserve">less then </w:t>
      </w:r>
      <w:r w:rsidRPr="00175897">
        <w:rPr>
          <w:sz w:val="32"/>
          <w:szCs w:val="32"/>
        </w:rPr>
        <w:t xml:space="preserve">60 ml / min. </w:t>
      </w:r>
      <w:r w:rsidR="005E0354">
        <w:rPr>
          <w:sz w:val="32"/>
          <w:szCs w:val="32"/>
        </w:rPr>
        <w:t xml:space="preserve">Accurate </w:t>
      </w:r>
      <w:r w:rsidRPr="00175897">
        <w:rPr>
          <w:sz w:val="32"/>
          <w:szCs w:val="32"/>
        </w:rPr>
        <w:t xml:space="preserve">means of estimation of this flow are essential for selecting patients at risk. </w:t>
      </w:r>
      <w:r w:rsidR="005E0354">
        <w:rPr>
          <w:sz w:val="32"/>
          <w:szCs w:val="32"/>
        </w:rPr>
        <w:t>Intravenous r</w:t>
      </w:r>
      <w:r w:rsidRPr="00175897">
        <w:rPr>
          <w:sz w:val="32"/>
          <w:szCs w:val="32"/>
        </w:rPr>
        <w:t xml:space="preserve">ehydration with saline is the basis of this prevention. The choice of the least harmful iodinated contrast agent remains a matter of great controversy, but iso-osmolar iodinated </w:t>
      </w:r>
      <w:r w:rsidR="005E0354">
        <w:rPr>
          <w:sz w:val="32"/>
          <w:szCs w:val="32"/>
        </w:rPr>
        <w:t>product</w:t>
      </w:r>
      <w:r w:rsidRPr="00175897">
        <w:rPr>
          <w:sz w:val="32"/>
          <w:szCs w:val="32"/>
        </w:rPr>
        <w:t xml:space="preserve"> represent a very good alternative for patients with renal insufficiency.</w:t>
      </w:r>
    </w:p>
    <w:p w:rsidR="0053146B" w:rsidRDefault="0053146B" w:rsidP="00172F3A">
      <w:pPr>
        <w:pStyle w:val="Paragraphedeliste"/>
        <w:numPr>
          <w:ilvl w:val="0"/>
          <w:numId w:val="2"/>
        </w:numPr>
        <w:rPr>
          <w:rFonts w:cstheme="minorHAnsi"/>
          <w:sz w:val="28"/>
          <w:szCs w:val="28"/>
        </w:rPr>
      </w:pPr>
      <w:r w:rsidRPr="0053146B">
        <w:rPr>
          <w:rFonts w:cstheme="minorHAnsi"/>
          <w:sz w:val="28"/>
          <w:szCs w:val="28"/>
        </w:rPr>
        <w:t>Moran et al. Kidney Int 1985</w:t>
      </w:r>
    </w:p>
    <w:p w:rsidR="0053146B" w:rsidRDefault="0053146B" w:rsidP="00D07C44">
      <w:pPr>
        <w:pStyle w:val="Paragraphedeliste"/>
        <w:numPr>
          <w:ilvl w:val="0"/>
          <w:numId w:val="2"/>
        </w:numPr>
        <w:rPr>
          <w:rFonts w:cstheme="minorHAnsi"/>
          <w:sz w:val="28"/>
          <w:szCs w:val="28"/>
        </w:rPr>
      </w:pPr>
      <w:r w:rsidRPr="0053146B">
        <w:rPr>
          <w:rFonts w:cstheme="minorHAnsi"/>
          <w:sz w:val="28"/>
          <w:szCs w:val="28"/>
        </w:rPr>
        <w:t>Ronco C et al. J Am Coll Cardiol 2008 ; 52 : 1527-1539</w:t>
      </w:r>
    </w:p>
    <w:p w:rsidR="0053146B" w:rsidRPr="0053146B" w:rsidRDefault="0053146B" w:rsidP="00685E5F">
      <w:pPr>
        <w:pStyle w:val="Paragraphedeliste"/>
        <w:numPr>
          <w:ilvl w:val="0"/>
          <w:numId w:val="2"/>
        </w:numPr>
        <w:rPr>
          <w:rFonts w:cstheme="minorHAnsi"/>
          <w:sz w:val="28"/>
          <w:szCs w:val="28"/>
        </w:rPr>
      </w:pPr>
      <w:r w:rsidRPr="0053146B">
        <w:rPr>
          <w:rStyle w:val="jrnl"/>
          <w:rFonts w:cstheme="minorHAnsi"/>
          <w:color w:val="000000"/>
          <w:sz w:val="28"/>
          <w:szCs w:val="28"/>
        </w:rPr>
        <w:t>Rev Med Suisse</w:t>
      </w:r>
      <w:r w:rsidRPr="0053146B">
        <w:rPr>
          <w:rFonts w:cstheme="minorHAnsi"/>
          <w:color w:val="000000"/>
          <w:sz w:val="28"/>
          <w:szCs w:val="28"/>
        </w:rPr>
        <w:t>. 2019 Jan 23;15(635):206-210.</w:t>
      </w:r>
    </w:p>
    <w:p w:rsidR="0053146B" w:rsidRPr="0053146B" w:rsidRDefault="0053146B" w:rsidP="00685E5F">
      <w:pPr>
        <w:pStyle w:val="Paragraphedeliste"/>
        <w:numPr>
          <w:ilvl w:val="0"/>
          <w:numId w:val="2"/>
        </w:numPr>
        <w:rPr>
          <w:rFonts w:cstheme="minorHAnsi"/>
          <w:sz w:val="28"/>
          <w:szCs w:val="28"/>
        </w:rPr>
      </w:pPr>
      <w:bookmarkStart w:id="0" w:name="_GoBack"/>
      <w:bookmarkEnd w:id="0"/>
      <w:r w:rsidRPr="0053146B">
        <w:rPr>
          <w:rStyle w:val="jrnl"/>
          <w:rFonts w:cstheme="minorHAnsi"/>
          <w:color w:val="000000"/>
          <w:sz w:val="28"/>
          <w:szCs w:val="28"/>
        </w:rPr>
        <w:t>Radiol Technol</w:t>
      </w:r>
      <w:r w:rsidRPr="0053146B">
        <w:rPr>
          <w:rFonts w:cstheme="minorHAnsi"/>
          <w:color w:val="000000"/>
          <w:sz w:val="28"/>
          <w:szCs w:val="28"/>
        </w:rPr>
        <w:t>. 2018 May;89(5):467CT-477CT. Review.</w:t>
      </w:r>
    </w:p>
    <w:sectPr w:rsidR="0053146B" w:rsidRPr="005314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BCA" w:rsidRDefault="00FA3BCA" w:rsidP="00E323B6">
      <w:pPr>
        <w:spacing w:after="0" w:line="240" w:lineRule="auto"/>
      </w:pPr>
      <w:r>
        <w:separator/>
      </w:r>
    </w:p>
  </w:endnote>
  <w:endnote w:type="continuationSeparator" w:id="0">
    <w:p w:rsidR="00FA3BCA" w:rsidRDefault="00FA3BCA" w:rsidP="00E32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BCA" w:rsidRDefault="00FA3BCA" w:rsidP="00E323B6">
      <w:pPr>
        <w:spacing w:after="0" w:line="240" w:lineRule="auto"/>
      </w:pPr>
      <w:r>
        <w:separator/>
      </w:r>
    </w:p>
  </w:footnote>
  <w:footnote w:type="continuationSeparator" w:id="0">
    <w:p w:rsidR="00FA3BCA" w:rsidRDefault="00FA3BCA" w:rsidP="00E32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1630F"/>
    <w:multiLevelType w:val="hybridMultilevel"/>
    <w:tmpl w:val="36D6FB9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33CFC"/>
    <w:multiLevelType w:val="hybridMultilevel"/>
    <w:tmpl w:val="E6723F5E"/>
    <w:lvl w:ilvl="0" w:tplc="040C000F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7318" w:hanging="360"/>
      </w:pPr>
    </w:lvl>
    <w:lvl w:ilvl="2" w:tplc="040C001B" w:tentative="1">
      <w:start w:val="1"/>
      <w:numFmt w:val="lowerRoman"/>
      <w:lvlText w:val="%3."/>
      <w:lvlJc w:val="right"/>
      <w:pPr>
        <w:ind w:left="8038" w:hanging="180"/>
      </w:pPr>
    </w:lvl>
    <w:lvl w:ilvl="3" w:tplc="040C000F" w:tentative="1">
      <w:start w:val="1"/>
      <w:numFmt w:val="decimal"/>
      <w:lvlText w:val="%4."/>
      <w:lvlJc w:val="left"/>
      <w:pPr>
        <w:ind w:left="8758" w:hanging="360"/>
      </w:pPr>
    </w:lvl>
    <w:lvl w:ilvl="4" w:tplc="040C0019" w:tentative="1">
      <w:start w:val="1"/>
      <w:numFmt w:val="lowerLetter"/>
      <w:lvlText w:val="%5."/>
      <w:lvlJc w:val="left"/>
      <w:pPr>
        <w:ind w:left="9478" w:hanging="360"/>
      </w:pPr>
    </w:lvl>
    <w:lvl w:ilvl="5" w:tplc="040C001B" w:tentative="1">
      <w:start w:val="1"/>
      <w:numFmt w:val="lowerRoman"/>
      <w:lvlText w:val="%6."/>
      <w:lvlJc w:val="right"/>
      <w:pPr>
        <w:ind w:left="10198" w:hanging="180"/>
      </w:pPr>
    </w:lvl>
    <w:lvl w:ilvl="6" w:tplc="040C000F" w:tentative="1">
      <w:start w:val="1"/>
      <w:numFmt w:val="decimal"/>
      <w:lvlText w:val="%7."/>
      <w:lvlJc w:val="left"/>
      <w:pPr>
        <w:ind w:left="10918" w:hanging="360"/>
      </w:pPr>
    </w:lvl>
    <w:lvl w:ilvl="7" w:tplc="040C0019" w:tentative="1">
      <w:start w:val="1"/>
      <w:numFmt w:val="lowerLetter"/>
      <w:lvlText w:val="%8."/>
      <w:lvlJc w:val="left"/>
      <w:pPr>
        <w:ind w:left="11638" w:hanging="360"/>
      </w:pPr>
    </w:lvl>
    <w:lvl w:ilvl="8" w:tplc="040C001B" w:tentative="1">
      <w:start w:val="1"/>
      <w:numFmt w:val="lowerRoman"/>
      <w:lvlText w:val="%9."/>
      <w:lvlJc w:val="right"/>
      <w:pPr>
        <w:ind w:left="1235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897"/>
    <w:rsid w:val="00175897"/>
    <w:rsid w:val="00293CFA"/>
    <w:rsid w:val="0053146B"/>
    <w:rsid w:val="005E0354"/>
    <w:rsid w:val="00E323B6"/>
    <w:rsid w:val="00FA3BCA"/>
    <w:rsid w:val="00FC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68C782-1965-4F70-8581-B1FD4510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323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323B6"/>
  </w:style>
  <w:style w:type="paragraph" w:styleId="Pieddepage">
    <w:name w:val="footer"/>
    <w:basedOn w:val="Normal"/>
    <w:link w:val="PieddepageCar"/>
    <w:uiPriority w:val="99"/>
    <w:unhideWhenUsed/>
    <w:rsid w:val="00E323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323B6"/>
  </w:style>
  <w:style w:type="paragraph" w:styleId="Paragraphedeliste">
    <w:name w:val="List Paragraph"/>
    <w:basedOn w:val="Normal"/>
    <w:uiPriority w:val="34"/>
    <w:qFormat/>
    <w:rsid w:val="0053146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314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customStyle="1" w:styleId="jrnl">
    <w:name w:val="jrnl"/>
    <w:basedOn w:val="Policepardfaut"/>
    <w:rsid w:val="005314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8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69397">
          <w:marLeft w:val="0"/>
          <w:marRight w:val="4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289644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225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2019-02-26T16:05:00Z</dcterms:created>
  <dcterms:modified xsi:type="dcterms:W3CDTF">2019-02-26T17:51:00Z</dcterms:modified>
</cp:coreProperties>
</file>