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3448F1" w14:textId="77777777" w:rsidR="00DF48B3" w:rsidRPr="004F6B5D" w:rsidRDefault="00DF48B3" w:rsidP="00DF48B3">
      <w:pPr>
        <w:jc w:val="center"/>
        <w:rPr>
          <w:rFonts w:ascii="Arial" w:eastAsia="Times New Roman" w:hAnsi="Arial" w:cs="Arial"/>
          <w:b/>
        </w:rPr>
      </w:pPr>
      <w:r>
        <w:rPr>
          <w:rFonts w:ascii="Arial" w:eastAsia="Times New Roman" w:hAnsi="Arial" w:cs="Arial"/>
          <w:b/>
          <w:color w:val="000000"/>
        </w:rPr>
        <w:t xml:space="preserve">Influence of Traditional Healing Practices on Anti-Retroviral Treatment Adherence </w:t>
      </w:r>
      <w:r>
        <w:rPr>
          <w:rFonts w:ascii="Arial" w:hAnsi="Arial" w:cs="Arial"/>
          <w:b/>
        </w:rPr>
        <w:t xml:space="preserve">in the Limpopo Province, </w:t>
      </w:r>
      <w:r w:rsidRPr="00B14AC5">
        <w:rPr>
          <w:rFonts w:ascii="Arial" w:hAnsi="Arial" w:cs="Arial"/>
          <w:b/>
        </w:rPr>
        <w:t>South Africa.</w:t>
      </w:r>
    </w:p>
    <w:p w14:paraId="3DDF04CA" w14:textId="77777777" w:rsidR="00DF48B3" w:rsidRDefault="00DF48B3" w:rsidP="00DF48B3">
      <w:pPr>
        <w:spacing w:after="200" w:line="360" w:lineRule="auto"/>
        <w:jc w:val="both"/>
        <w:rPr>
          <w:rFonts w:ascii="Arial" w:eastAsia="Calibri" w:hAnsi="Arial" w:cs="Arial"/>
          <w:b/>
          <w:color w:val="000000"/>
          <w:lang w:val="en-GB"/>
        </w:rPr>
      </w:pPr>
    </w:p>
    <w:p w14:paraId="2FC79EE9" w14:textId="77777777" w:rsidR="00DF48B3" w:rsidRPr="005A1AFA" w:rsidRDefault="00DF48B3" w:rsidP="00DF48B3">
      <w:pPr>
        <w:spacing w:line="360" w:lineRule="auto"/>
        <w:jc w:val="both"/>
        <w:rPr>
          <w:rFonts w:ascii="Arial" w:hAnsi="Arial" w:cs="Arial"/>
          <w:sz w:val="22"/>
          <w:szCs w:val="22"/>
          <w:vertAlign w:val="superscript"/>
        </w:rPr>
      </w:pPr>
      <w:r>
        <w:rPr>
          <w:rFonts w:ascii="Arial" w:hAnsi="Arial" w:cs="Arial"/>
          <w:sz w:val="22"/>
          <w:szCs w:val="22"/>
          <w:u w:val="single"/>
        </w:rPr>
        <w:t>Faith Musvipwa</w:t>
      </w:r>
      <w:r w:rsidRPr="005A1AFA">
        <w:rPr>
          <w:rFonts w:ascii="Arial" w:hAnsi="Arial" w:cs="Arial"/>
          <w:sz w:val="22"/>
          <w:szCs w:val="22"/>
          <w:u w:val="single"/>
          <w:vertAlign w:val="superscript"/>
        </w:rPr>
        <w:t>1</w:t>
      </w:r>
      <w:r w:rsidRPr="005A1AFA">
        <w:rPr>
          <w:rFonts w:ascii="Arial" w:hAnsi="Arial" w:cs="Arial"/>
          <w:sz w:val="22"/>
          <w:szCs w:val="22"/>
          <w:vertAlign w:val="superscript"/>
        </w:rPr>
        <w:t>,2,3</w:t>
      </w:r>
      <w:r>
        <w:rPr>
          <w:rFonts w:ascii="Arial" w:hAnsi="Arial" w:cs="Arial"/>
          <w:sz w:val="22"/>
          <w:szCs w:val="22"/>
        </w:rPr>
        <w:t>, Tshifhumulo R</w:t>
      </w:r>
      <w:r w:rsidRPr="005A1AFA">
        <w:rPr>
          <w:rFonts w:ascii="Arial" w:hAnsi="Arial" w:cs="Arial"/>
          <w:sz w:val="22"/>
          <w:szCs w:val="22"/>
          <w:vertAlign w:val="superscript"/>
        </w:rPr>
        <w:t>2</w:t>
      </w:r>
      <w:r>
        <w:rPr>
          <w:rFonts w:ascii="Arial" w:hAnsi="Arial" w:cs="Arial"/>
          <w:sz w:val="22"/>
          <w:szCs w:val="22"/>
        </w:rPr>
        <w:t>, Braithwaite J</w:t>
      </w:r>
      <w:r w:rsidRPr="005A1AFA">
        <w:rPr>
          <w:rFonts w:ascii="Arial" w:hAnsi="Arial" w:cs="Arial"/>
          <w:sz w:val="22"/>
          <w:szCs w:val="22"/>
          <w:vertAlign w:val="superscript"/>
        </w:rPr>
        <w:t>3</w:t>
      </w:r>
      <w:r w:rsidRPr="005A1AFA">
        <w:rPr>
          <w:rFonts w:ascii="Arial" w:hAnsi="Arial" w:cs="Arial"/>
          <w:sz w:val="22"/>
          <w:szCs w:val="22"/>
        </w:rPr>
        <w:t xml:space="preserve">, </w:t>
      </w:r>
      <w:r>
        <w:rPr>
          <w:rFonts w:ascii="Arial" w:hAnsi="Arial" w:cs="Arial"/>
          <w:sz w:val="22"/>
          <w:szCs w:val="22"/>
        </w:rPr>
        <w:t>Matshidze PE</w:t>
      </w:r>
      <w:r w:rsidRPr="005A1AFA">
        <w:rPr>
          <w:rFonts w:ascii="Arial" w:hAnsi="Arial" w:cs="Arial"/>
          <w:sz w:val="22"/>
          <w:szCs w:val="22"/>
          <w:vertAlign w:val="superscript"/>
        </w:rPr>
        <w:t>2</w:t>
      </w:r>
      <w:r>
        <w:rPr>
          <w:rFonts w:ascii="Arial" w:hAnsi="Arial" w:cs="Arial"/>
          <w:sz w:val="22"/>
          <w:szCs w:val="22"/>
        </w:rPr>
        <w:t>, Scott H</w:t>
      </w:r>
      <w:r w:rsidRPr="005A1AFA">
        <w:rPr>
          <w:rFonts w:ascii="Arial" w:hAnsi="Arial" w:cs="Arial"/>
          <w:sz w:val="22"/>
          <w:szCs w:val="22"/>
          <w:vertAlign w:val="superscript"/>
        </w:rPr>
        <w:t>1</w:t>
      </w:r>
      <w:r w:rsidRPr="005A1AFA">
        <w:rPr>
          <w:rFonts w:ascii="Arial" w:hAnsi="Arial" w:cs="Arial"/>
          <w:sz w:val="22"/>
          <w:szCs w:val="22"/>
        </w:rPr>
        <w:t xml:space="preserve"> and </w:t>
      </w:r>
      <w:r>
        <w:rPr>
          <w:rFonts w:ascii="Arial" w:hAnsi="Arial" w:cs="Arial"/>
          <w:sz w:val="22"/>
          <w:szCs w:val="22"/>
        </w:rPr>
        <w:t>Braithwaite J</w:t>
      </w:r>
      <w:r w:rsidRPr="005A1AFA">
        <w:rPr>
          <w:rFonts w:ascii="Arial" w:hAnsi="Arial" w:cs="Arial"/>
          <w:sz w:val="22"/>
          <w:szCs w:val="22"/>
          <w:vertAlign w:val="superscript"/>
        </w:rPr>
        <w:t>3</w:t>
      </w:r>
    </w:p>
    <w:p w14:paraId="18282F35" w14:textId="47E20410" w:rsidR="00DF48B3" w:rsidRPr="005A1AFA" w:rsidRDefault="00DF48B3" w:rsidP="00DF48B3">
      <w:pPr>
        <w:spacing w:line="360" w:lineRule="auto"/>
        <w:jc w:val="both"/>
        <w:rPr>
          <w:rFonts w:ascii="Arial" w:hAnsi="Arial" w:cs="Arial"/>
          <w:sz w:val="16"/>
          <w:szCs w:val="16"/>
        </w:rPr>
      </w:pPr>
      <w:r>
        <w:rPr>
          <w:rFonts w:ascii="Arial" w:hAnsi="Arial" w:cs="Arial"/>
          <w:sz w:val="16"/>
          <w:szCs w:val="16"/>
        </w:rPr>
        <w:t>Department of Sociology</w:t>
      </w:r>
      <w:r w:rsidRPr="005A1AFA">
        <w:rPr>
          <w:rFonts w:ascii="Arial" w:hAnsi="Arial" w:cs="Arial"/>
          <w:sz w:val="16"/>
          <w:szCs w:val="16"/>
        </w:rPr>
        <w:t xml:space="preserve"> 1, University of Venda, Thohoyandou, Limpopo Provin</w:t>
      </w:r>
      <w:r>
        <w:rPr>
          <w:rFonts w:ascii="Arial" w:hAnsi="Arial" w:cs="Arial"/>
          <w:sz w:val="16"/>
          <w:szCs w:val="16"/>
        </w:rPr>
        <w:t>ce, South Africa; Center for Global Health2</w:t>
      </w:r>
      <w:r w:rsidRPr="005A1AFA">
        <w:rPr>
          <w:rFonts w:ascii="Arial" w:hAnsi="Arial" w:cs="Arial"/>
          <w:sz w:val="16"/>
          <w:szCs w:val="16"/>
        </w:rPr>
        <w:t>, Division of Infectious Diseases and International Health, School of Medicine, University of Virginia, Charlottesville, Virginia, USA.</w:t>
      </w:r>
    </w:p>
    <w:p w14:paraId="58A7C092" w14:textId="77777777" w:rsidR="00DF48B3" w:rsidRDefault="00DF48B3" w:rsidP="00DF48B3">
      <w:pPr>
        <w:widowControl w:val="0"/>
        <w:autoSpaceDE w:val="0"/>
        <w:autoSpaceDN w:val="0"/>
        <w:adjustRightInd w:val="0"/>
        <w:spacing w:after="240" w:line="360" w:lineRule="auto"/>
        <w:jc w:val="both"/>
        <w:outlineLvl w:val="0"/>
        <w:rPr>
          <w:rFonts w:ascii="Arial" w:hAnsi="Arial" w:cs="Arial"/>
          <w:b/>
          <w:bCs/>
          <w:color w:val="000000"/>
          <w:sz w:val="22"/>
          <w:szCs w:val="22"/>
        </w:rPr>
      </w:pPr>
    </w:p>
    <w:p w14:paraId="36938359" w14:textId="77777777" w:rsidR="00DF48B3" w:rsidRDefault="00DF48B3" w:rsidP="00DF48B3">
      <w:pPr>
        <w:widowControl w:val="0"/>
        <w:autoSpaceDE w:val="0"/>
        <w:autoSpaceDN w:val="0"/>
        <w:adjustRightInd w:val="0"/>
        <w:spacing w:after="240" w:line="360" w:lineRule="auto"/>
        <w:jc w:val="both"/>
        <w:outlineLvl w:val="0"/>
        <w:rPr>
          <w:rFonts w:ascii="Arial" w:hAnsi="Arial" w:cs="Arial"/>
          <w:color w:val="000000"/>
          <w:sz w:val="22"/>
          <w:szCs w:val="22"/>
        </w:rPr>
      </w:pPr>
      <w:r w:rsidRPr="00C323B1">
        <w:rPr>
          <w:rFonts w:ascii="Arial" w:hAnsi="Arial" w:cs="Arial"/>
          <w:b/>
          <w:bCs/>
          <w:color w:val="000000"/>
          <w:sz w:val="22"/>
          <w:szCs w:val="22"/>
        </w:rPr>
        <w:t xml:space="preserve">Background </w:t>
      </w:r>
    </w:p>
    <w:p w14:paraId="5422ACCC" w14:textId="099C540F" w:rsidR="00DF48B3" w:rsidRPr="00C323B1" w:rsidRDefault="00DF48B3" w:rsidP="00DF48B3">
      <w:pPr>
        <w:widowControl w:val="0"/>
        <w:autoSpaceDE w:val="0"/>
        <w:autoSpaceDN w:val="0"/>
        <w:adjustRightInd w:val="0"/>
        <w:spacing w:after="240" w:line="360" w:lineRule="auto"/>
        <w:jc w:val="both"/>
        <w:outlineLvl w:val="0"/>
        <w:rPr>
          <w:rFonts w:ascii="Arial" w:hAnsi="Arial" w:cs="Arial"/>
          <w:color w:val="000000"/>
          <w:sz w:val="22"/>
          <w:szCs w:val="22"/>
        </w:rPr>
      </w:pPr>
      <w:r>
        <w:rPr>
          <w:rFonts w:ascii="Arial" w:hAnsi="Arial" w:cs="Arial"/>
          <w:color w:val="000000"/>
          <w:sz w:val="22"/>
          <w:szCs w:val="22"/>
        </w:rPr>
        <w:t xml:space="preserve">For </w:t>
      </w:r>
      <w:r>
        <w:rPr>
          <w:rFonts w:ascii="Arial" w:hAnsi="Arial" w:cs="Arial"/>
          <w:color w:val="000000"/>
          <w:sz w:val="22"/>
          <w:szCs w:val="22"/>
        </w:rPr>
        <w:t>diseases,</w:t>
      </w:r>
      <w:r>
        <w:rPr>
          <w:rFonts w:ascii="Arial" w:hAnsi="Arial" w:cs="Arial"/>
          <w:color w:val="000000"/>
          <w:sz w:val="22"/>
          <w:szCs w:val="22"/>
        </w:rPr>
        <w:t xml:space="preserve"> such as human immunodeficiency virus (HIV), r</w:t>
      </w:r>
      <w:r w:rsidRPr="00C323B1">
        <w:rPr>
          <w:rFonts w:ascii="Arial" w:hAnsi="Arial" w:cs="Arial"/>
          <w:color w:val="000000"/>
          <w:sz w:val="22"/>
          <w:szCs w:val="22"/>
        </w:rPr>
        <w:t xml:space="preserve">ural communities </w:t>
      </w:r>
      <w:r>
        <w:rPr>
          <w:rFonts w:ascii="Arial" w:hAnsi="Arial" w:cs="Arial"/>
          <w:color w:val="000000"/>
          <w:sz w:val="22"/>
          <w:szCs w:val="22"/>
        </w:rPr>
        <w:t>must often grapple with adopting a W</w:t>
      </w:r>
      <w:r w:rsidRPr="00C323B1">
        <w:rPr>
          <w:rFonts w:ascii="Arial" w:hAnsi="Arial" w:cs="Arial"/>
          <w:color w:val="000000"/>
          <w:sz w:val="22"/>
          <w:szCs w:val="22"/>
        </w:rPr>
        <w:t xml:space="preserve">estern </w:t>
      </w:r>
      <w:r>
        <w:rPr>
          <w:rFonts w:ascii="Arial" w:hAnsi="Arial" w:cs="Arial"/>
          <w:color w:val="000000"/>
          <w:sz w:val="22"/>
          <w:szCs w:val="22"/>
        </w:rPr>
        <w:t>biomedical approach to</w:t>
      </w:r>
      <w:r w:rsidRPr="00C323B1">
        <w:rPr>
          <w:rFonts w:ascii="Arial" w:hAnsi="Arial" w:cs="Arial"/>
          <w:color w:val="000000"/>
          <w:sz w:val="22"/>
          <w:szCs w:val="22"/>
        </w:rPr>
        <w:t xml:space="preserve"> treatment </w:t>
      </w:r>
      <w:r>
        <w:rPr>
          <w:rFonts w:ascii="Arial" w:hAnsi="Arial" w:cs="Arial"/>
          <w:color w:val="000000"/>
          <w:sz w:val="22"/>
          <w:szCs w:val="22"/>
        </w:rPr>
        <w:t xml:space="preserve">or use </w:t>
      </w:r>
      <w:r w:rsidRPr="00C323B1">
        <w:rPr>
          <w:rFonts w:ascii="Arial" w:hAnsi="Arial" w:cs="Arial"/>
          <w:color w:val="000000"/>
          <w:sz w:val="22"/>
          <w:szCs w:val="22"/>
        </w:rPr>
        <w:t xml:space="preserve">traditional </w:t>
      </w:r>
      <w:r>
        <w:rPr>
          <w:rFonts w:ascii="Arial" w:hAnsi="Arial" w:cs="Arial"/>
          <w:color w:val="000000"/>
          <w:sz w:val="22"/>
          <w:szCs w:val="22"/>
        </w:rPr>
        <w:t xml:space="preserve">healing methods rooted in generations of religious and cultural practice. </w:t>
      </w:r>
      <w:r w:rsidRPr="00C323B1">
        <w:rPr>
          <w:rFonts w:ascii="Arial" w:hAnsi="Arial" w:cs="Arial"/>
          <w:color w:val="000000"/>
          <w:sz w:val="22"/>
          <w:szCs w:val="22"/>
        </w:rPr>
        <w:t>Despite advocacy</w:t>
      </w:r>
      <w:r>
        <w:rPr>
          <w:rFonts w:ascii="Arial" w:hAnsi="Arial" w:cs="Arial"/>
          <w:color w:val="000000"/>
          <w:sz w:val="22"/>
          <w:szCs w:val="22"/>
        </w:rPr>
        <w:t xml:space="preserve"> for a biomedical approach to treating HIV with antiretroviral therapy (ART) in South Africa</w:t>
      </w:r>
      <w:r w:rsidRPr="00C323B1">
        <w:rPr>
          <w:rFonts w:ascii="Arial" w:hAnsi="Arial" w:cs="Arial"/>
          <w:color w:val="000000"/>
          <w:sz w:val="22"/>
          <w:szCs w:val="22"/>
        </w:rPr>
        <w:t xml:space="preserve">, </w:t>
      </w:r>
      <w:r>
        <w:rPr>
          <w:rFonts w:ascii="Arial" w:hAnsi="Arial" w:cs="Arial"/>
          <w:color w:val="000000"/>
          <w:sz w:val="22"/>
          <w:szCs w:val="22"/>
        </w:rPr>
        <w:t>traditional healing preferences</w:t>
      </w:r>
      <w:r w:rsidRPr="00C323B1">
        <w:rPr>
          <w:rFonts w:ascii="Arial" w:hAnsi="Arial" w:cs="Arial"/>
          <w:color w:val="000000"/>
          <w:sz w:val="22"/>
          <w:szCs w:val="22"/>
        </w:rPr>
        <w:t xml:space="preserve"> </w:t>
      </w:r>
      <w:r>
        <w:rPr>
          <w:rFonts w:ascii="Arial" w:hAnsi="Arial" w:cs="Arial"/>
          <w:color w:val="000000"/>
          <w:sz w:val="22"/>
          <w:szCs w:val="22"/>
        </w:rPr>
        <w:t>remain</w:t>
      </w:r>
      <w:r w:rsidRPr="00C323B1">
        <w:rPr>
          <w:rFonts w:ascii="Arial" w:hAnsi="Arial" w:cs="Arial"/>
          <w:color w:val="000000"/>
          <w:sz w:val="22"/>
          <w:szCs w:val="22"/>
        </w:rPr>
        <w:t xml:space="preserve"> prominent. </w:t>
      </w:r>
      <w:r>
        <w:rPr>
          <w:rFonts w:ascii="Arial" w:hAnsi="Arial" w:cs="Arial"/>
          <w:color w:val="000000"/>
          <w:sz w:val="22"/>
          <w:szCs w:val="22"/>
        </w:rPr>
        <w:t>It is unknown what factors influence these preferences in rural Limpopo province and whether a better understanding of these health seeking behaviors could be utilized to improved ART uptake and adherence while maintaining a culturally important connection to traditional practices.</w:t>
      </w:r>
      <w:r w:rsidRPr="00C323B1">
        <w:rPr>
          <w:rFonts w:ascii="Arial" w:hAnsi="Arial" w:cs="Arial"/>
          <w:sz w:val="22"/>
          <w:szCs w:val="22"/>
        </w:rPr>
        <w:t xml:space="preserve"> </w:t>
      </w:r>
    </w:p>
    <w:p w14:paraId="6730D0E8" w14:textId="77777777" w:rsidR="00DF48B3" w:rsidRDefault="00DF48B3" w:rsidP="00DF48B3">
      <w:pPr>
        <w:widowControl w:val="0"/>
        <w:autoSpaceDE w:val="0"/>
        <w:autoSpaceDN w:val="0"/>
        <w:adjustRightInd w:val="0"/>
        <w:spacing w:after="240" w:line="360" w:lineRule="auto"/>
        <w:jc w:val="both"/>
        <w:outlineLvl w:val="0"/>
        <w:rPr>
          <w:rFonts w:ascii="Arial" w:hAnsi="Arial" w:cs="Arial"/>
          <w:b/>
          <w:bCs/>
          <w:color w:val="000000"/>
          <w:sz w:val="22"/>
          <w:szCs w:val="22"/>
        </w:rPr>
      </w:pPr>
      <w:r w:rsidRPr="00C323B1">
        <w:rPr>
          <w:rFonts w:ascii="Arial" w:hAnsi="Arial" w:cs="Arial"/>
          <w:b/>
          <w:bCs/>
          <w:color w:val="000000"/>
          <w:sz w:val="22"/>
          <w:szCs w:val="22"/>
        </w:rPr>
        <w:t xml:space="preserve">Methodology </w:t>
      </w:r>
    </w:p>
    <w:p w14:paraId="56CB3816" w14:textId="77777777" w:rsidR="00DF48B3" w:rsidRPr="00CB703F" w:rsidRDefault="00DF48B3" w:rsidP="00DF48B3">
      <w:pPr>
        <w:pStyle w:val="NormalWeb"/>
        <w:spacing w:before="120" w:beforeAutospacing="0" w:after="120" w:afterAutospacing="0" w:line="360" w:lineRule="auto"/>
        <w:jc w:val="both"/>
        <w:rPr>
          <w:rFonts w:ascii="Helvetica" w:hAnsi="Helvetica"/>
          <w:color w:val="222222"/>
          <w:sz w:val="21"/>
          <w:szCs w:val="21"/>
        </w:rPr>
      </w:pPr>
      <w:r w:rsidRPr="00F7183B">
        <w:rPr>
          <w:rFonts w:ascii="Arial" w:hAnsi="Arial" w:cs="Arial"/>
          <w:bCs/>
          <w:color w:val="000000"/>
          <w:sz w:val="22"/>
          <w:szCs w:val="22"/>
        </w:rPr>
        <w:t xml:space="preserve">A structured literature review was performed to identify rates of ART uptake and adherence based on levels of economic disadvantage. Economically </w:t>
      </w:r>
      <w:r w:rsidRPr="00F7183B">
        <w:rPr>
          <w:rFonts w:ascii="Arial" w:hAnsi="Arial" w:cs="Arial"/>
          <w:color w:val="222222"/>
          <w:sz w:val="22"/>
          <w:szCs w:val="22"/>
        </w:rPr>
        <w:t>disadvantaged is a generic term used to describe people from lower-income backgrounds or the disadvantaged poor, often applied in a third world context and typically relate to those with reduced upward mobility,</w:t>
      </w:r>
      <w:r w:rsidRPr="00F7183B">
        <w:rPr>
          <w:rStyle w:val="apple-converted-space"/>
          <w:rFonts w:ascii="Arial" w:hAnsi="Arial" w:cs="Arial"/>
          <w:color w:val="222222"/>
          <w:sz w:val="22"/>
          <w:szCs w:val="22"/>
        </w:rPr>
        <w:t> </w:t>
      </w:r>
      <w:r w:rsidRPr="00F7183B">
        <w:rPr>
          <w:rFonts w:ascii="Arial" w:hAnsi="Arial" w:cs="Arial"/>
          <w:color w:val="222222"/>
          <w:sz w:val="22"/>
          <w:szCs w:val="22"/>
        </w:rPr>
        <w:t xml:space="preserve">suffering social exclusion and having limited access to natural resources and economic opportunities. They are often landless or marginal farmers operating on the most unproductive land. </w:t>
      </w:r>
      <w:r w:rsidRPr="00F7183B">
        <w:rPr>
          <w:rFonts w:ascii="Arial" w:hAnsi="Arial" w:cs="Arial"/>
          <w:bCs/>
          <w:color w:val="000000"/>
          <w:sz w:val="22"/>
          <w:szCs w:val="22"/>
        </w:rPr>
        <w:t>We then sought to identify at least five districts in Limpopo province representing the major ethnic groups and quantify the proportion unemployed, living in communal settings, and whose belief systems are at least partly African traditional.</w:t>
      </w:r>
      <w:r w:rsidRPr="00F7183B">
        <w:rPr>
          <w:rFonts w:ascii="Arial" w:eastAsia="Times New Roman" w:hAnsi="Arial" w:cs="Arial"/>
          <w:sz w:val="22"/>
          <w:szCs w:val="22"/>
          <w:lang w:val="en-ZA"/>
        </w:rPr>
        <w:t xml:space="preserve"> Next, purposive and snowball sampling methods were designed to draw a sample of 30 participants evenly sampled from each district, including a minimum of 2</w:t>
      </w:r>
      <w:r>
        <w:rPr>
          <w:rFonts w:ascii="Arial" w:eastAsia="Times New Roman" w:hAnsi="Arial" w:cs="Arial"/>
          <w:sz w:val="22"/>
          <w:szCs w:val="22"/>
          <w:lang w:val="en-ZA"/>
        </w:rPr>
        <w:t xml:space="preserve"> traditional healers</w:t>
      </w:r>
      <w:r w:rsidRPr="00C323B1">
        <w:rPr>
          <w:rFonts w:ascii="Arial" w:eastAsia="Times New Roman" w:hAnsi="Arial" w:cs="Arial"/>
          <w:sz w:val="22"/>
          <w:szCs w:val="22"/>
          <w:lang w:val="en-ZA"/>
        </w:rPr>
        <w:t xml:space="preserve">. Using </w:t>
      </w:r>
      <w:r w:rsidRPr="00C323B1">
        <w:rPr>
          <w:rFonts w:ascii="Arial" w:hAnsi="Arial" w:cs="Arial"/>
          <w:sz w:val="22"/>
          <w:szCs w:val="22"/>
        </w:rPr>
        <w:t xml:space="preserve">semi-structured interviews </w:t>
      </w:r>
      <w:r w:rsidRPr="00C323B1">
        <w:rPr>
          <w:rFonts w:ascii="Arial" w:hAnsi="Arial" w:cs="Arial"/>
          <w:color w:val="000000"/>
          <w:sz w:val="22"/>
          <w:szCs w:val="22"/>
        </w:rPr>
        <w:t>responses on the following topics will be obtained, socio</w:t>
      </w:r>
      <w:r>
        <w:rPr>
          <w:rFonts w:ascii="Arial" w:hAnsi="Arial" w:cs="Arial"/>
          <w:color w:val="000000"/>
          <w:sz w:val="22"/>
          <w:szCs w:val="22"/>
        </w:rPr>
        <w:t xml:space="preserve">- demographic characteristics, and traditional healing </w:t>
      </w:r>
      <w:r w:rsidRPr="00C323B1">
        <w:rPr>
          <w:rFonts w:ascii="Arial" w:hAnsi="Arial" w:cs="Arial"/>
          <w:color w:val="000000"/>
          <w:sz w:val="22"/>
          <w:szCs w:val="22"/>
        </w:rPr>
        <w:t xml:space="preserve">practices </w:t>
      </w:r>
      <w:r>
        <w:rPr>
          <w:rFonts w:ascii="Arial" w:hAnsi="Arial" w:cs="Arial"/>
          <w:color w:val="000000"/>
          <w:sz w:val="22"/>
          <w:szCs w:val="22"/>
        </w:rPr>
        <w:t>and knowledge of ART</w:t>
      </w:r>
      <w:r w:rsidRPr="00C323B1">
        <w:rPr>
          <w:rFonts w:ascii="Arial" w:hAnsi="Arial" w:cs="Arial"/>
          <w:color w:val="000000"/>
          <w:sz w:val="22"/>
          <w:szCs w:val="22"/>
        </w:rPr>
        <w:t xml:space="preserve">. Data will be analyzed </w:t>
      </w:r>
      <w:r w:rsidRPr="00C323B1">
        <w:rPr>
          <w:rFonts w:ascii="Arial" w:hAnsi="Arial" w:cs="Arial"/>
          <w:sz w:val="22"/>
          <w:szCs w:val="22"/>
          <w:lang w:val="en-ZA"/>
        </w:rPr>
        <w:t>through grounded theory method.</w:t>
      </w:r>
      <w:r w:rsidRPr="00C323B1">
        <w:rPr>
          <w:rFonts w:ascii="Arial" w:eastAsia="Times New Roman" w:hAnsi="Arial" w:cs="Arial"/>
          <w:sz w:val="22"/>
          <w:szCs w:val="22"/>
          <w:lang w:val="en-ZA"/>
        </w:rPr>
        <w:t xml:space="preserve"> </w:t>
      </w:r>
    </w:p>
    <w:p w14:paraId="23CF5BB9" w14:textId="77777777" w:rsidR="00DF48B3" w:rsidRDefault="00DF48B3" w:rsidP="00DF48B3">
      <w:pPr>
        <w:widowControl w:val="0"/>
        <w:autoSpaceDE w:val="0"/>
        <w:autoSpaceDN w:val="0"/>
        <w:adjustRightInd w:val="0"/>
        <w:spacing w:after="240" w:line="360" w:lineRule="auto"/>
        <w:jc w:val="both"/>
        <w:outlineLvl w:val="0"/>
        <w:rPr>
          <w:rFonts w:ascii="Arial" w:hAnsi="Arial" w:cs="Arial"/>
          <w:b/>
          <w:bCs/>
          <w:color w:val="000000"/>
          <w:sz w:val="22"/>
          <w:szCs w:val="22"/>
        </w:rPr>
      </w:pPr>
    </w:p>
    <w:p w14:paraId="4D337BBC" w14:textId="77777777" w:rsidR="00DF48B3" w:rsidRPr="00C323B1" w:rsidRDefault="00DF48B3" w:rsidP="00DF48B3">
      <w:pPr>
        <w:widowControl w:val="0"/>
        <w:autoSpaceDE w:val="0"/>
        <w:autoSpaceDN w:val="0"/>
        <w:adjustRightInd w:val="0"/>
        <w:spacing w:after="240" w:line="360" w:lineRule="auto"/>
        <w:jc w:val="both"/>
        <w:outlineLvl w:val="0"/>
        <w:rPr>
          <w:rFonts w:ascii="Arial" w:hAnsi="Arial" w:cs="Arial"/>
          <w:color w:val="000000"/>
          <w:sz w:val="22"/>
          <w:szCs w:val="22"/>
        </w:rPr>
      </w:pPr>
      <w:r w:rsidRPr="00C323B1">
        <w:rPr>
          <w:rFonts w:ascii="Arial" w:hAnsi="Arial" w:cs="Arial"/>
          <w:b/>
          <w:bCs/>
          <w:color w:val="000000"/>
          <w:sz w:val="22"/>
          <w:szCs w:val="22"/>
        </w:rPr>
        <w:lastRenderedPageBreak/>
        <w:t xml:space="preserve">Results </w:t>
      </w:r>
    </w:p>
    <w:p w14:paraId="4B1EA9AC" w14:textId="77777777" w:rsidR="00DF48B3" w:rsidRDefault="00DF48B3" w:rsidP="00DF48B3">
      <w:pPr>
        <w:widowControl w:val="0"/>
        <w:autoSpaceDE w:val="0"/>
        <w:autoSpaceDN w:val="0"/>
        <w:adjustRightInd w:val="0"/>
        <w:spacing w:after="240" w:line="360" w:lineRule="auto"/>
        <w:jc w:val="both"/>
        <w:rPr>
          <w:rFonts w:ascii="Arial" w:hAnsi="Arial" w:cs="Arial"/>
          <w:sz w:val="22"/>
          <w:szCs w:val="22"/>
        </w:rPr>
      </w:pPr>
      <w:r>
        <w:rPr>
          <w:rFonts w:ascii="Arial" w:eastAsia="Times New Roman" w:hAnsi="Arial" w:cs="Arial"/>
          <w:sz w:val="22"/>
          <w:szCs w:val="22"/>
        </w:rPr>
        <w:t>Structured literature review found that non-adherence to ART was</w:t>
      </w:r>
      <w:r w:rsidRPr="005F5712">
        <w:rPr>
          <w:rFonts w:ascii="Arial" w:eastAsia="Times New Roman" w:hAnsi="Arial" w:cs="Arial"/>
          <w:sz w:val="22"/>
          <w:szCs w:val="22"/>
        </w:rPr>
        <w:t xml:space="preserve"> more prevalent</w:t>
      </w:r>
      <w:r>
        <w:rPr>
          <w:rFonts w:ascii="Arial" w:eastAsia="Times New Roman" w:hAnsi="Arial" w:cs="Arial"/>
          <w:sz w:val="22"/>
          <w:szCs w:val="22"/>
        </w:rPr>
        <w:t xml:space="preserve"> in communities which are economically disadvantaged, and was particularly common in areas </w:t>
      </w:r>
      <w:r w:rsidRPr="005F5712">
        <w:rPr>
          <w:rFonts w:ascii="Arial" w:eastAsia="Times New Roman" w:hAnsi="Arial" w:cs="Arial"/>
          <w:sz w:val="22"/>
          <w:szCs w:val="22"/>
        </w:rPr>
        <w:t>characterized by informal trading, gold-panning and communal subsistence farming lack</w:t>
      </w:r>
      <w:r>
        <w:rPr>
          <w:rFonts w:ascii="Arial" w:eastAsia="Times New Roman" w:hAnsi="Arial" w:cs="Arial"/>
          <w:sz w:val="22"/>
          <w:szCs w:val="22"/>
        </w:rPr>
        <w:t>ing</w:t>
      </w:r>
      <w:r w:rsidRPr="005F5712">
        <w:rPr>
          <w:rFonts w:ascii="Arial" w:eastAsia="Times New Roman" w:hAnsi="Arial" w:cs="Arial"/>
          <w:sz w:val="22"/>
          <w:szCs w:val="22"/>
        </w:rPr>
        <w:t xml:space="preserve"> formal education and employment. </w:t>
      </w:r>
      <w:r>
        <w:rPr>
          <w:rFonts w:ascii="Arial" w:eastAsia="Times New Roman" w:hAnsi="Arial" w:cs="Arial"/>
          <w:sz w:val="22"/>
          <w:szCs w:val="22"/>
        </w:rPr>
        <w:t>Stigma and discrimination also</w:t>
      </w:r>
      <w:r w:rsidRPr="005F5712">
        <w:rPr>
          <w:rFonts w:ascii="Arial" w:eastAsia="Times New Roman" w:hAnsi="Arial" w:cs="Arial"/>
          <w:sz w:val="22"/>
          <w:szCs w:val="22"/>
        </w:rPr>
        <w:t xml:space="preserve"> resulted in patients on ART taking their medications in concealment to</w:t>
      </w:r>
      <w:r>
        <w:rPr>
          <w:rFonts w:ascii="Arial" w:eastAsia="Times New Roman" w:hAnsi="Arial" w:cs="Arial"/>
          <w:sz w:val="22"/>
          <w:szCs w:val="22"/>
        </w:rPr>
        <w:t xml:space="preserve"> cover their</w:t>
      </w:r>
      <w:r w:rsidRPr="005F5712">
        <w:rPr>
          <w:rFonts w:ascii="Arial" w:eastAsia="Times New Roman" w:hAnsi="Arial" w:cs="Arial"/>
          <w:sz w:val="22"/>
          <w:szCs w:val="22"/>
        </w:rPr>
        <w:t xml:space="preserve"> HIV positive status</w:t>
      </w:r>
      <w:r>
        <w:rPr>
          <w:rFonts w:ascii="Arial" w:eastAsia="Times New Roman" w:hAnsi="Arial" w:cs="Arial"/>
          <w:sz w:val="22"/>
          <w:szCs w:val="22"/>
        </w:rPr>
        <w:t xml:space="preserve"> or </w:t>
      </w:r>
      <w:r w:rsidRPr="005F5712">
        <w:rPr>
          <w:rFonts w:ascii="Arial" w:eastAsia="Times New Roman" w:hAnsi="Arial" w:cs="Arial"/>
          <w:sz w:val="22"/>
          <w:szCs w:val="22"/>
        </w:rPr>
        <w:t>default</w:t>
      </w:r>
      <w:r>
        <w:rPr>
          <w:rFonts w:ascii="Arial" w:eastAsia="Times New Roman" w:hAnsi="Arial" w:cs="Arial"/>
          <w:sz w:val="22"/>
          <w:szCs w:val="22"/>
        </w:rPr>
        <w:t>ing</w:t>
      </w:r>
      <w:r w:rsidRPr="005F5712">
        <w:rPr>
          <w:rFonts w:ascii="Arial" w:eastAsia="Times New Roman" w:hAnsi="Arial" w:cs="Arial"/>
          <w:sz w:val="22"/>
          <w:szCs w:val="22"/>
        </w:rPr>
        <w:t xml:space="preserve"> </w:t>
      </w:r>
      <w:r>
        <w:rPr>
          <w:rFonts w:ascii="Arial" w:eastAsia="Times New Roman" w:hAnsi="Arial" w:cs="Arial"/>
          <w:sz w:val="22"/>
          <w:szCs w:val="22"/>
        </w:rPr>
        <w:t xml:space="preserve">treatment rather than risk </w:t>
      </w:r>
      <w:r w:rsidRPr="005F5712">
        <w:rPr>
          <w:rFonts w:ascii="Arial" w:eastAsia="Times New Roman" w:hAnsi="Arial" w:cs="Arial"/>
          <w:sz w:val="22"/>
          <w:szCs w:val="22"/>
        </w:rPr>
        <w:t>stigmatization</w:t>
      </w:r>
      <w:r>
        <w:rPr>
          <w:rFonts w:ascii="Arial" w:eastAsia="Times New Roman" w:hAnsi="Arial" w:cs="Arial"/>
          <w:sz w:val="22"/>
          <w:szCs w:val="22"/>
        </w:rPr>
        <w:t>. Five</w:t>
      </w:r>
      <w:r w:rsidRPr="00C323B1">
        <w:rPr>
          <w:rFonts w:ascii="Arial" w:hAnsi="Arial" w:cs="Arial"/>
          <w:color w:val="000000"/>
          <w:sz w:val="22"/>
          <w:szCs w:val="22"/>
        </w:rPr>
        <w:t xml:space="preserve"> districts </w:t>
      </w:r>
      <w:r>
        <w:rPr>
          <w:rFonts w:ascii="Arial" w:hAnsi="Arial" w:cs="Arial"/>
          <w:color w:val="000000"/>
          <w:sz w:val="22"/>
          <w:szCs w:val="22"/>
        </w:rPr>
        <w:t>were identified</w:t>
      </w:r>
      <w:r w:rsidRPr="00C323B1">
        <w:rPr>
          <w:rFonts w:ascii="Arial" w:hAnsi="Arial" w:cs="Arial"/>
          <w:color w:val="000000"/>
          <w:sz w:val="22"/>
          <w:szCs w:val="22"/>
        </w:rPr>
        <w:t xml:space="preserve"> namely, Capricorn, Waterberg, </w:t>
      </w:r>
      <w:r>
        <w:rPr>
          <w:rFonts w:ascii="Arial" w:hAnsi="Arial" w:cs="Arial"/>
          <w:color w:val="000000"/>
          <w:sz w:val="22"/>
          <w:szCs w:val="22"/>
        </w:rPr>
        <w:t xml:space="preserve">Vhembe, Sekhukhune, and Mopani, representing the major </w:t>
      </w:r>
      <w:r w:rsidRPr="00C323B1">
        <w:rPr>
          <w:rFonts w:ascii="Arial" w:hAnsi="Arial" w:cs="Arial"/>
          <w:color w:val="000000"/>
          <w:sz w:val="22"/>
          <w:szCs w:val="22"/>
        </w:rPr>
        <w:t xml:space="preserve">ethnic groupings </w:t>
      </w:r>
      <w:r>
        <w:rPr>
          <w:rFonts w:ascii="Arial" w:hAnsi="Arial" w:cs="Arial"/>
          <w:color w:val="000000"/>
          <w:sz w:val="22"/>
          <w:szCs w:val="22"/>
        </w:rPr>
        <w:t xml:space="preserve">of </w:t>
      </w:r>
      <w:r w:rsidRPr="00C323B1">
        <w:rPr>
          <w:rFonts w:ascii="Arial" w:hAnsi="Arial" w:cs="Arial"/>
          <w:color w:val="000000"/>
          <w:sz w:val="22"/>
          <w:szCs w:val="22"/>
        </w:rPr>
        <w:t>Northern</w:t>
      </w:r>
      <w:r>
        <w:rPr>
          <w:rFonts w:ascii="Arial" w:hAnsi="Arial" w:cs="Arial"/>
          <w:color w:val="000000"/>
          <w:sz w:val="22"/>
          <w:szCs w:val="22"/>
        </w:rPr>
        <w:t xml:space="preserve"> Sotho, Xitsonga, and Tshivenda, of whom 21.6% were unemployed and lived </w:t>
      </w:r>
      <w:r w:rsidRPr="00C323B1">
        <w:rPr>
          <w:rFonts w:ascii="Arial" w:hAnsi="Arial" w:cs="Arial"/>
          <w:color w:val="000000"/>
          <w:sz w:val="22"/>
          <w:szCs w:val="22"/>
        </w:rPr>
        <w:t>communal</w:t>
      </w:r>
      <w:r>
        <w:rPr>
          <w:rFonts w:ascii="Arial" w:hAnsi="Arial" w:cs="Arial"/>
          <w:color w:val="000000"/>
          <w:sz w:val="22"/>
          <w:szCs w:val="22"/>
        </w:rPr>
        <w:t>ly</w:t>
      </w:r>
      <w:r w:rsidRPr="00C323B1">
        <w:rPr>
          <w:rFonts w:ascii="Arial" w:hAnsi="Arial" w:cs="Arial"/>
          <w:color w:val="000000"/>
          <w:sz w:val="22"/>
          <w:szCs w:val="22"/>
        </w:rPr>
        <w:t xml:space="preserve">, while </w:t>
      </w:r>
      <w:r>
        <w:rPr>
          <w:rFonts w:ascii="Arial" w:hAnsi="Arial" w:cs="Arial"/>
          <w:color w:val="000000"/>
          <w:sz w:val="22"/>
          <w:szCs w:val="22"/>
        </w:rPr>
        <w:t>55.7%</w:t>
      </w:r>
      <w:r w:rsidRPr="00C323B1">
        <w:rPr>
          <w:rFonts w:ascii="Arial" w:hAnsi="Arial" w:cs="Arial"/>
          <w:color w:val="000000"/>
          <w:sz w:val="22"/>
          <w:szCs w:val="22"/>
        </w:rPr>
        <w:t xml:space="preserve"> </w:t>
      </w:r>
      <w:r>
        <w:rPr>
          <w:rFonts w:ascii="Arial" w:hAnsi="Arial" w:cs="Arial"/>
          <w:color w:val="000000"/>
          <w:sz w:val="22"/>
          <w:szCs w:val="22"/>
        </w:rPr>
        <w:t xml:space="preserve">were not </w:t>
      </w:r>
      <w:r w:rsidRPr="00C323B1">
        <w:rPr>
          <w:rFonts w:ascii="Arial" w:hAnsi="Arial" w:cs="Arial"/>
          <w:color w:val="000000"/>
          <w:sz w:val="22"/>
          <w:szCs w:val="22"/>
        </w:rPr>
        <w:t>economically active</w:t>
      </w:r>
      <w:r>
        <w:rPr>
          <w:rFonts w:ascii="Arial" w:hAnsi="Arial" w:cs="Arial"/>
          <w:color w:val="000000"/>
          <w:sz w:val="22"/>
          <w:szCs w:val="22"/>
        </w:rPr>
        <w:t xml:space="preserve">. </w:t>
      </w:r>
      <w:r>
        <w:rPr>
          <w:rFonts w:ascii="Arial" w:hAnsi="Arial" w:cs="Arial"/>
          <w:sz w:val="22"/>
          <w:szCs w:val="22"/>
        </w:rPr>
        <w:t>Participant enrollment for qualitative study has yet to begin.</w:t>
      </w:r>
    </w:p>
    <w:p w14:paraId="7260052C" w14:textId="77777777" w:rsidR="00DF48B3" w:rsidRPr="00F14D57" w:rsidRDefault="00DF48B3" w:rsidP="00DF48B3">
      <w:pPr>
        <w:widowControl w:val="0"/>
        <w:autoSpaceDE w:val="0"/>
        <w:autoSpaceDN w:val="0"/>
        <w:adjustRightInd w:val="0"/>
        <w:spacing w:after="240" w:line="360" w:lineRule="auto"/>
        <w:jc w:val="both"/>
        <w:rPr>
          <w:rFonts w:ascii="Arial" w:hAnsi="Arial" w:cs="Arial"/>
          <w:b/>
          <w:color w:val="000000"/>
          <w:sz w:val="22"/>
          <w:szCs w:val="22"/>
        </w:rPr>
      </w:pPr>
      <w:r w:rsidRPr="00F14D57">
        <w:rPr>
          <w:rFonts w:ascii="Arial" w:hAnsi="Arial" w:cs="Arial"/>
          <w:b/>
          <w:sz w:val="22"/>
          <w:szCs w:val="22"/>
        </w:rPr>
        <w:t>Conclusions/Future Study</w:t>
      </w:r>
    </w:p>
    <w:p w14:paraId="68B35315" w14:textId="77777777" w:rsidR="00DF48B3" w:rsidRPr="00C323B1" w:rsidRDefault="00DF48B3" w:rsidP="00DF48B3">
      <w:pPr>
        <w:widowControl w:val="0"/>
        <w:autoSpaceDE w:val="0"/>
        <w:autoSpaceDN w:val="0"/>
        <w:adjustRightInd w:val="0"/>
        <w:spacing w:after="240" w:line="360" w:lineRule="auto"/>
        <w:jc w:val="both"/>
        <w:rPr>
          <w:rFonts w:ascii="Arial" w:hAnsi="Arial" w:cs="Arial"/>
          <w:sz w:val="22"/>
          <w:szCs w:val="22"/>
          <w:lang w:val="en-ZA"/>
        </w:rPr>
      </w:pPr>
      <w:r>
        <w:rPr>
          <w:rFonts w:ascii="Arial" w:eastAsia="Times New Roman" w:hAnsi="Arial" w:cs="Arial"/>
          <w:sz w:val="22"/>
          <w:szCs w:val="22"/>
        </w:rPr>
        <w:t xml:space="preserve">Economically disadvantaged populations in rural Limpopo are at major risk for lack of </w:t>
      </w:r>
      <w:r w:rsidRPr="005F5712">
        <w:rPr>
          <w:rFonts w:ascii="Arial" w:eastAsia="Times New Roman" w:hAnsi="Arial" w:cs="Arial"/>
          <w:sz w:val="22"/>
          <w:szCs w:val="22"/>
        </w:rPr>
        <w:t xml:space="preserve">ART </w:t>
      </w:r>
      <w:r>
        <w:rPr>
          <w:rFonts w:ascii="Arial" w:eastAsia="Times New Roman" w:hAnsi="Arial" w:cs="Arial"/>
          <w:sz w:val="22"/>
          <w:szCs w:val="22"/>
        </w:rPr>
        <w:t>uptake or non-</w:t>
      </w:r>
      <w:r w:rsidRPr="005F5712">
        <w:rPr>
          <w:rFonts w:ascii="Arial" w:eastAsia="Times New Roman" w:hAnsi="Arial" w:cs="Arial"/>
          <w:sz w:val="22"/>
          <w:szCs w:val="22"/>
        </w:rPr>
        <w:t xml:space="preserve">adherence </w:t>
      </w:r>
      <w:r>
        <w:rPr>
          <w:rFonts w:ascii="Arial" w:eastAsia="Times New Roman" w:hAnsi="Arial" w:cs="Arial"/>
          <w:sz w:val="22"/>
          <w:szCs w:val="22"/>
        </w:rPr>
        <w:t>but complimentary engagement of the traditional healing community may improve HIV outcomes. Ongoing qualitative study will elucidate the most promising community-based mechanisms.</w:t>
      </w:r>
      <w:r w:rsidRPr="005F5712">
        <w:rPr>
          <w:rFonts w:ascii="Arial" w:eastAsia="Times New Roman" w:hAnsi="Arial" w:cs="Arial"/>
          <w:sz w:val="22"/>
          <w:szCs w:val="22"/>
        </w:rPr>
        <w:t xml:space="preserve"> </w:t>
      </w:r>
    </w:p>
    <w:p w14:paraId="77C5C851" w14:textId="77777777" w:rsidR="00E85A89" w:rsidRPr="00C323B1" w:rsidRDefault="00A524DD" w:rsidP="00C323B1">
      <w:pPr>
        <w:spacing w:line="360" w:lineRule="auto"/>
        <w:jc w:val="both"/>
        <w:rPr>
          <w:rFonts w:ascii="Arial" w:hAnsi="Arial" w:cs="Arial"/>
          <w:sz w:val="22"/>
          <w:szCs w:val="22"/>
        </w:rPr>
      </w:pPr>
      <w:bookmarkStart w:id="0" w:name="_GoBack"/>
      <w:bookmarkEnd w:id="0"/>
    </w:p>
    <w:sectPr w:rsidR="00E85A89" w:rsidRPr="00C323B1" w:rsidSect="000A475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718"/>
    <w:rsid w:val="00004F61"/>
    <w:rsid w:val="000B1477"/>
    <w:rsid w:val="00136469"/>
    <w:rsid w:val="00174902"/>
    <w:rsid w:val="001A127E"/>
    <w:rsid w:val="002E3A6D"/>
    <w:rsid w:val="00306C69"/>
    <w:rsid w:val="0031610C"/>
    <w:rsid w:val="003A699B"/>
    <w:rsid w:val="003D4B67"/>
    <w:rsid w:val="00497010"/>
    <w:rsid w:val="004E251B"/>
    <w:rsid w:val="005528B9"/>
    <w:rsid w:val="00645F94"/>
    <w:rsid w:val="00672EA9"/>
    <w:rsid w:val="006F3EE0"/>
    <w:rsid w:val="0073193E"/>
    <w:rsid w:val="00735CAC"/>
    <w:rsid w:val="007716C8"/>
    <w:rsid w:val="007773F5"/>
    <w:rsid w:val="007838A7"/>
    <w:rsid w:val="007B0EBF"/>
    <w:rsid w:val="007C6592"/>
    <w:rsid w:val="00805D84"/>
    <w:rsid w:val="00866815"/>
    <w:rsid w:val="00872748"/>
    <w:rsid w:val="00880237"/>
    <w:rsid w:val="00894B30"/>
    <w:rsid w:val="008A39FD"/>
    <w:rsid w:val="008A63D4"/>
    <w:rsid w:val="008C5902"/>
    <w:rsid w:val="008E540E"/>
    <w:rsid w:val="009746BF"/>
    <w:rsid w:val="009A5B71"/>
    <w:rsid w:val="009A6345"/>
    <w:rsid w:val="00A524DD"/>
    <w:rsid w:val="00A56649"/>
    <w:rsid w:val="00AF1945"/>
    <w:rsid w:val="00BE4D67"/>
    <w:rsid w:val="00C323B1"/>
    <w:rsid w:val="00C43718"/>
    <w:rsid w:val="00CB2501"/>
    <w:rsid w:val="00CD3AC1"/>
    <w:rsid w:val="00CD7ABB"/>
    <w:rsid w:val="00D02762"/>
    <w:rsid w:val="00DA564E"/>
    <w:rsid w:val="00DF48B3"/>
    <w:rsid w:val="00E03894"/>
    <w:rsid w:val="00E64B77"/>
    <w:rsid w:val="00EB668E"/>
    <w:rsid w:val="00F320B1"/>
    <w:rsid w:val="00F60863"/>
    <w:rsid w:val="00F67B1F"/>
    <w:rsid w:val="00F9785A"/>
    <w:rsid w:val="00FA2471"/>
    <w:rsid w:val="00FC6758"/>
    <w:rsid w:val="00FE075A"/>
    <w:rsid w:val="00FE73D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D7CD63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A127E"/>
    <w:pPr>
      <w:keepNext/>
      <w:keepLines/>
      <w:spacing w:before="200" w:line="276" w:lineRule="auto"/>
      <w:outlineLvl w:val="1"/>
    </w:pPr>
    <w:rPr>
      <w:rFonts w:ascii="Arial" w:eastAsia="Times New Roman" w:hAnsi="Arial" w:cs="Times New Roman"/>
      <w:b/>
      <w:bCs/>
      <w:sz w:val="22"/>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73F5"/>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7773F5"/>
  </w:style>
  <w:style w:type="paragraph" w:customStyle="1" w:styleId="headingh3">
    <w:name w:val="heading_h3"/>
    <w:basedOn w:val="Normal"/>
    <w:rsid w:val="007773F5"/>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7773F5"/>
    <w:rPr>
      <w:color w:val="0000FF"/>
      <w:u w:val="single"/>
    </w:rPr>
  </w:style>
  <w:style w:type="paragraph" w:styleId="DocumentMap">
    <w:name w:val="Document Map"/>
    <w:basedOn w:val="Normal"/>
    <w:link w:val="DocumentMapChar"/>
    <w:uiPriority w:val="99"/>
    <w:semiHidden/>
    <w:unhideWhenUsed/>
    <w:rsid w:val="001A127E"/>
    <w:rPr>
      <w:rFonts w:ascii="Times New Roman" w:hAnsi="Times New Roman" w:cs="Times New Roman"/>
    </w:rPr>
  </w:style>
  <w:style w:type="character" w:customStyle="1" w:styleId="DocumentMapChar">
    <w:name w:val="Document Map Char"/>
    <w:basedOn w:val="DefaultParagraphFont"/>
    <w:link w:val="DocumentMap"/>
    <w:uiPriority w:val="99"/>
    <w:semiHidden/>
    <w:rsid w:val="001A127E"/>
    <w:rPr>
      <w:rFonts w:ascii="Times New Roman" w:hAnsi="Times New Roman" w:cs="Times New Roman"/>
    </w:rPr>
  </w:style>
  <w:style w:type="character" w:customStyle="1" w:styleId="Heading2Char">
    <w:name w:val="Heading 2 Char"/>
    <w:basedOn w:val="DefaultParagraphFont"/>
    <w:link w:val="Heading2"/>
    <w:uiPriority w:val="9"/>
    <w:rsid w:val="001A127E"/>
    <w:rPr>
      <w:rFonts w:ascii="Arial" w:eastAsia="Times New Roman" w:hAnsi="Arial" w:cs="Times New Roman"/>
      <w:b/>
      <w:bCs/>
      <w:sz w:val="22"/>
      <w:szCs w:val="26"/>
      <w:lang w:val="en-GB"/>
    </w:rPr>
  </w:style>
  <w:style w:type="paragraph" w:styleId="Footer">
    <w:name w:val="footer"/>
    <w:basedOn w:val="Normal"/>
    <w:link w:val="FooterChar"/>
    <w:uiPriority w:val="99"/>
    <w:unhideWhenUsed/>
    <w:rsid w:val="001A127E"/>
    <w:pPr>
      <w:tabs>
        <w:tab w:val="center" w:pos="4680"/>
        <w:tab w:val="right" w:pos="9360"/>
      </w:tabs>
    </w:pPr>
    <w:rPr>
      <w:rFonts w:ascii="Calibri" w:eastAsia="Calibri" w:hAnsi="Calibri" w:cs="Times New Roman"/>
      <w:sz w:val="22"/>
      <w:szCs w:val="22"/>
      <w:lang w:val="en-GB"/>
    </w:rPr>
  </w:style>
  <w:style w:type="character" w:customStyle="1" w:styleId="FooterChar">
    <w:name w:val="Footer Char"/>
    <w:basedOn w:val="DefaultParagraphFont"/>
    <w:link w:val="Footer"/>
    <w:uiPriority w:val="99"/>
    <w:rsid w:val="001A127E"/>
    <w:rPr>
      <w:rFonts w:ascii="Calibri" w:eastAsia="Calibri" w:hAnsi="Calibri" w:cs="Times New Roman"/>
      <w:sz w:val="22"/>
      <w:szCs w:val="22"/>
      <w:lang w:val="en-GB"/>
    </w:rPr>
  </w:style>
  <w:style w:type="character" w:styleId="CommentReference">
    <w:name w:val="annotation reference"/>
    <w:basedOn w:val="DefaultParagraphFont"/>
    <w:uiPriority w:val="99"/>
    <w:semiHidden/>
    <w:unhideWhenUsed/>
    <w:rsid w:val="00DF48B3"/>
    <w:rPr>
      <w:sz w:val="16"/>
      <w:szCs w:val="16"/>
    </w:rPr>
  </w:style>
  <w:style w:type="paragraph" w:styleId="CommentText">
    <w:name w:val="annotation text"/>
    <w:basedOn w:val="Normal"/>
    <w:link w:val="CommentTextChar"/>
    <w:uiPriority w:val="99"/>
    <w:semiHidden/>
    <w:unhideWhenUsed/>
    <w:rsid w:val="00DF48B3"/>
    <w:rPr>
      <w:sz w:val="20"/>
      <w:szCs w:val="20"/>
    </w:rPr>
  </w:style>
  <w:style w:type="character" w:customStyle="1" w:styleId="CommentTextChar">
    <w:name w:val="Comment Text Char"/>
    <w:basedOn w:val="DefaultParagraphFont"/>
    <w:link w:val="CommentText"/>
    <w:uiPriority w:val="99"/>
    <w:semiHidden/>
    <w:rsid w:val="00DF48B3"/>
    <w:rPr>
      <w:sz w:val="20"/>
      <w:szCs w:val="20"/>
    </w:rPr>
  </w:style>
  <w:style w:type="paragraph" w:styleId="BalloonText">
    <w:name w:val="Balloon Text"/>
    <w:basedOn w:val="Normal"/>
    <w:link w:val="BalloonTextChar"/>
    <w:uiPriority w:val="99"/>
    <w:semiHidden/>
    <w:unhideWhenUsed/>
    <w:rsid w:val="00DF48B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F48B3"/>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DF48B3"/>
    <w:rPr>
      <w:b/>
      <w:bCs/>
    </w:rPr>
  </w:style>
  <w:style w:type="character" w:customStyle="1" w:styleId="CommentSubjectChar">
    <w:name w:val="Comment Subject Char"/>
    <w:basedOn w:val="CommentTextChar"/>
    <w:link w:val="CommentSubject"/>
    <w:uiPriority w:val="99"/>
    <w:semiHidden/>
    <w:rsid w:val="00DF48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9466285">
      <w:bodyDiv w:val="1"/>
      <w:marLeft w:val="0"/>
      <w:marRight w:val="0"/>
      <w:marTop w:val="0"/>
      <w:marBottom w:val="0"/>
      <w:divBdr>
        <w:top w:val="none" w:sz="0" w:space="0" w:color="auto"/>
        <w:left w:val="none" w:sz="0" w:space="0" w:color="auto"/>
        <w:bottom w:val="none" w:sz="0" w:space="0" w:color="auto"/>
        <w:right w:val="none" w:sz="0" w:space="0" w:color="auto"/>
      </w:divBdr>
    </w:div>
    <w:div w:id="1737363340">
      <w:bodyDiv w:val="1"/>
      <w:marLeft w:val="0"/>
      <w:marRight w:val="0"/>
      <w:marTop w:val="0"/>
      <w:marBottom w:val="0"/>
      <w:divBdr>
        <w:top w:val="none" w:sz="0" w:space="0" w:color="auto"/>
        <w:left w:val="none" w:sz="0" w:space="0" w:color="auto"/>
        <w:bottom w:val="none" w:sz="0" w:space="0" w:color="auto"/>
        <w:right w:val="none" w:sz="0" w:space="0" w:color="auto"/>
      </w:divBdr>
    </w:div>
    <w:div w:id="18757719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2</Pages>
  <Words>527</Words>
  <Characters>3005</Characters>
  <Application>Microsoft Macintosh Word</Application>
  <DocSecurity>0</DocSecurity>
  <Lines>25</Lines>
  <Paragraphs>7</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vt:lpstr>Background </vt:lpstr>
      <vt:lpstr>Methodology </vt:lpstr>
      <vt:lpstr/>
      <vt:lpstr>Preliminary Results </vt:lpstr>
    </vt:vector>
  </TitlesOfParts>
  <LinksUpToDate>false</LinksUpToDate>
  <CharactersWithSpaces>3525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25</cp:revision>
  <dcterms:created xsi:type="dcterms:W3CDTF">2017-03-02T19:43:00Z</dcterms:created>
  <dcterms:modified xsi:type="dcterms:W3CDTF">2017-03-23T18:17:00Z</dcterms:modified>
</cp:coreProperties>
</file>