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AC4BEA" w:rsidP="00494130">
      <w:pPr>
        <w:pStyle w:val="Heading1"/>
        <w:spacing w:before="170"/>
        <w:ind w:left="0"/>
      </w:pPr>
      <w:r w:rsidRPr="00AC4BEA">
        <w:rPr>
          <w:color w:val="337AB7"/>
        </w:rPr>
        <w:t>Usefulness of homoeopathy in essential hypertension: an exploratory interventional trial</w:t>
      </w:r>
    </w:p>
    <w:p w:rsidR="00AC4BEA" w:rsidRDefault="00AC4BEA" w:rsidP="00AC4BEA">
      <w:pPr>
        <w:pStyle w:val="BodyText"/>
        <w:spacing w:before="73" w:line="198" w:lineRule="exact"/>
        <w:ind w:left="100" w:right="5290"/>
        <w:rPr>
          <w:rFonts w:ascii="Arial"/>
        </w:rPr>
      </w:pPr>
      <w:r w:rsidRPr="00AC4BEA">
        <w:rPr>
          <w:rFonts w:ascii="Arial"/>
        </w:rPr>
        <w:t>Dr. Pritha Mehra, MD (Hom.)</w:t>
      </w:r>
      <w:r w:rsidR="005973B9">
        <w:rPr>
          <w:rFonts w:ascii="Arial"/>
        </w:rPr>
        <w:t xml:space="preserve">, </w:t>
      </w:r>
    </w:p>
    <w:p w:rsidR="00AC4BEA" w:rsidRDefault="00AC4BEA" w:rsidP="00AC4BEA">
      <w:pPr>
        <w:pStyle w:val="BodyText"/>
        <w:spacing w:before="73" w:line="198" w:lineRule="exact"/>
        <w:ind w:left="100" w:right="5290"/>
        <w:rPr>
          <w:rFonts w:ascii="Arial"/>
        </w:rPr>
      </w:pPr>
      <w:r>
        <w:rPr>
          <w:rFonts w:ascii="Arial"/>
        </w:rPr>
        <w:t>Central Council for Research In Homoeopathy</w:t>
      </w:r>
      <w:r w:rsidR="005973B9">
        <w:rPr>
          <w:rFonts w:ascii="Arial"/>
        </w:rPr>
        <w:t>,</w:t>
      </w:r>
      <w:r>
        <w:rPr>
          <w:rFonts w:ascii="Arial"/>
        </w:rPr>
        <w:t xml:space="preserve"> </w:t>
      </w:r>
    </w:p>
    <w:p w:rsidR="005973B9" w:rsidRDefault="00AC4BEA" w:rsidP="00AC4BEA">
      <w:pPr>
        <w:pStyle w:val="BodyText"/>
        <w:spacing w:before="73" w:line="198" w:lineRule="exact"/>
        <w:ind w:left="100" w:right="5290"/>
        <w:rPr>
          <w:rFonts w:ascii="Arial"/>
        </w:rPr>
      </w:pPr>
      <w:r>
        <w:rPr>
          <w:rFonts w:ascii="Arial"/>
        </w:rPr>
        <w:t>New Delhi, India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AC4BEA" w:rsidRPr="00AC4BEA" w:rsidRDefault="00AC4BEA" w:rsidP="00AC4BEA">
      <w:pPr>
        <w:pStyle w:val="Heading3"/>
        <w:spacing w:before="74"/>
        <w:jc w:val="both"/>
        <w:rPr>
          <w:b w:val="0"/>
          <w:sz w:val="18"/>
          <w:szCs w:val="18"/>
        </w:rPr>
      </w:pPr>
      <w:r w:rsidRPr="00AC4BEA">
        <w:rPr>
          <w:b w:val="0"/>
          <w:sz w:val="18"/>
          <w:szCs w:val="18"/>
        </w:rPr>
        <w:t xml:space="preserve">Hypertension has shown a significant increase in its prevalence not only in urban but also in rural population in India. Out of all hypertensive cases 85%-95% account for ‘Essential hypertension’, which is mostly attributed to genetic, psychological and environmental factors. Thus, there is need for a holistic approach for its treatment. This </w:t>
      </w:r>
      <w:r w:rsidR="00E816D5">
        <w:rPr>
          <w:b w:val="0"/>
          <w:sz w:val="18"/>
          <w:szCs w:val="18"/>
        </w:rPr>
        <w:t>exploratory</w:t>
      </w:r>
      <w:r w:rsidRPr="00AC4BEA">
        <w:rPr>
          <w:b w:val="0"/>
          <w:sz w:val="18"/>
          <w:szCs w:val="18"/>
        </w:rPr>
        <w:t xml:space="preserve"> study as a part of </w:t>
      </w:r>
      <w:r w:rsidR="00E816D5">
        <w:rPr>
          <w:b w:val="0"/>
          <w:sz w:val="18"/>
          <w:szCs w:val="18"/>
        </w:rPr>
        <w:t>dissertation</w:t>
      </w:r>
      <w:r w:rsidRPr="00AC4BEA">
        <w:rPr>
          <w:b w:val="0"/>
          <w:sz w:val="18"/>
          <w:szCs w:val="18"/>
        </w:rPr>
        <w:t xml:space="preserve"> during post graduation was taken up to examine the usefu</w:t>
      </w:r>
      <w:r w:rsidR="00E816D5">
        <w:rPr>
          <w:b w:val="0"/>
          <w:sz w:val="18"/>
          <w:szCs w:val="18"/>
        </w:rPr>
        <w:t xml:space="preserve">lness of homoeopathic medicines </w:t>
      </w:r>
      <w:r w:rsidRPr="00AC4BEA">
        <w:rPr>
          <w:b w:val="0"/>
          <w:sz w:val="18"/>
          <w:szCs w:val="18"/>
        </w:rPr>
        <w:t>in management of essential hypertension.</w:t>
      </w:r>
    </w:p>
    <w:p w:rsidR="00AC4BEA" w:rsidRPr="00AC4BEA" w:rsidRDefault="00E816D5" w:rsidP="00AC4BEA">
      <w:pPr>
        <w:pStyle w:val="Heading3"/>
        <w:spacing w:before="74"/>
        <w:jc w:val="both"/>
        <w:rPr>
          <w:b w:val="0"/>
          <w:sz w:val="18"/>
          <w:szCs w:val="18"/>
        </w:rPr>
      </w:pPr>
      <w:r>
        <w:rPr>
          <w:b w:val="0"/>
          <w:sz w:val="18"/>
          <w:szCs w:val="18"/>
        </w:rPr>
        <w:t>This</w:t>
      </w:r>
      <w:r w:rsidR="00AC4BEA" w:rsidRPr="00AC4BEA">
        <w:rPr>
          <w:b w:val="0"/>
          <w:sz w:val="18"/>
          <w:szCs w:val="18"/>
        </w:rPr>
        <w:t xml:space="preserve"> trial was conducted at Dharam Kiran Govt. Homoeopathic Hospital, Hyderabad from 2004-06. 30 cases </w:t>
      </w:r>
      <w:r w:rsidR="00C36F6C" w:rsidRPr="00AC4BEA">
        <w:rPr>
          <w:b w:val="0"/>
          <w:sz w:val="18"/>
          <w:szCs w:val="18"/>
        </w:rPr>
        <w:t xml:space="preserve">fulfilling the inclusion criteria </w:t>
      </w:r>
      <w:r w:rsidR="00AC4BEA" w:rsidRPr="00AC4BEA">
        <w:rPr>
          <w:b w:val="0"/>
          <w:sz w:val="18"/>
          <w:szCs w:val="18"/>
        </w:rPr>
        <w:t xml:space="preserve">were enrolled from OPD of the hospital after receiving written informed consent. Medical history, physical </w:t>
      </w:r>
      <w:r>
        <w:rPr>
          <w:b w:val="0"/>
          <w:sz w:val="18"/>
          <w:szCs w:val="18"/>
        </w:rPr>
        <w:t xml:space="preserve">and systemic </w:t>
      </w:r>
      <w:r w:rsidR="00AC4BEA" w:rsidRPr="00AC4BEA">
        <w:rPr>
          <w:b w:val="0"/>
          <w:sz w:val="18"/>
          <w:szCs w:val="18"/>
        </w:rPr>
        <w:t xml:space="preserve">examination, laboratory investigations were used to rule out Secondary hypertension. Detailed case history was recorded and cases were repertorized using suitable repertory. Final selection of the medicine for each case was done in consultation with </w:t>
      </w:r>
      <w:r w:rsidR="00C36F6C" w:rsidRPr="00AC4BEA">
        <w:rPr>
          <w:b w:val="0"/>
          <w:sz w:val="18"/>
          <w:szCs w:val="18"/>
        </w:rPr>
        <w:t xml:space="preserve">Homoeopathic </w:t>
      </w:r>
      <w:r w:rsidR="00AC4BEA" w:rsidRPr="00AC4BEA">
        <w:rPr>
          <w:b w:val="0"/>
          <w:sz w:val="18"/>
          <w:szCs w:val="18"/>
        </w:rPr>
        <w:t xml:space="preserve">Materia </w:t>
      </w:r>
      <w:r w:rsidR="00C36F6C" w:rsidRPr="00AC4BEA">
        <w:rPr>
          <w:b w:val="0"/>
          <w:sz w:val="18"/>
          <w:szCs w:val="18"/>
        </w:rPr>
        <w:t>Medica</w:t>
      </w:r>
      <w:r w:rsidR="00AC4BEA" w:rsidRPr="00AC4BEA">
        <w:rPr>
          <w:b w:val="0"/>
          <w:sz w:val="18"/>
          <w:szCs w:val="18"/>
        </w:rPr>
        <w:t>. Modifiable risk factors like obesity (Body Mass Index), excess salt intake, alcohol consumption etc. were recorded at baseline.</w:t>
      </w:r>
    </w:p>
    <w:p w:rsidR="00AC4BEA" w:rsidRPr="00AC4BEA" w:rsidRDefault="00AC4BEA" w:rsidP="00AC4BEA">
      <w:pPr>
        <w:pStyle w:val="Heading3"/>
        <w:spacing w:before="74"/>
        <w:jc w:val="both"/>
        <w:rPr>
          <w:b w:val="0"/>
          <w:sz w:val="18"/>
          <w:szCs w:val="18"/>
        </w:rPr>
      </w:pPr>
      <w:r w:rsidRPr="00AC4BEA">
        <w:rPr>
          <w:b w:val="0"/>
          <w:sz w:val="18"/>
          <w:szCs w:val="18"/>
        </w:rPr>
        <w:t xml:space="preserve">The cases with Stage </w:t>
      </w:r>
      <w:r w:rsidR="00C36F6C">
        <w:rPr>
          <w:b w:val="0"/>
          <w:sz w:val="18"/>
          <w:szCs w:val="18"/>
        </w:rPr>
        <w:t xml:space="preserve">I and </w:t>
      </w:r>
      <w:r w:rsidRPr="00AC4BEA">
        <w:rPr>
          <w:b w:val="0"/>
          <w:sz w:val="18"/>
          <w:szCs w:val="18"/>
        </w:rPr>
        <w:t>II hypertension as per Joint National Committee on prevention, detection, evaluation and treatment of high blood pressure VII report (JNC VII) were followed up till one year. Main outcome measure was to assess the change in blood pressure in Stage I and II hypertension cases and secondary outcome was to find cases that belong to ‘Metabolic syndrome X’. Data was analyzed by using statistical software SPSS version 16.</w:t>
      </w:r>
    </w:p>
    <w:p w:rsidR="00AC4BEA" w:rsidRPr="00AC4BEA" w:rsidRDefault="00AC4BEA" w:rsidP="00AC4BEA">
      <w:pPr>
        <w:pStyle w:val="Heading3"/>
        <w:spacing w:before="74"/>
        <w:jc w:val="both"/>
        <w:rPr>
          <w:b w:val="0"/>
          <w:sz w:val="18"/>
          <w:szCs w:val="18"/>
        </w:rPr>
      </w:pPr>
      <w:r w:rsidRPr="00AC4BEA">
        <w:rPr>
          <w:b w:val="0"/>
          <w:sz w:val="18"/>
          <w:szCs w:val="18"/>
        </w:rPr>
        <w:t xml:space="preserve">16 (53.33%) cases showed marked improvement, 8 (26.67%) cases improved moderately, 3 (10%) showed no improvement and 3 (10%) cases dropped out. </w:t>
      </w:r>
      <w:r w:rsidRPr="00AC4BEA">
        <w:rPr>
          <w:b w:val="0"/>
          <w:i/>
          <w:sz w:val="18"/>
          <w:szCs w:val="18"/>
        </w:rPr>
        <w:t>Arsenic album</w:t>
      </w:r>
      <w:r w:rsidRPr="00AC4BEA">
        <w:rPr>
          <w:b w:val="0"/>
          <w:sz w:val="18"/>
          <w:szCs w:val="18"/>
        </w:rPr>
        <w:t xml:space="preserve">, </w:t>
      </w:r>
      <w:r w:rsidRPr="00AC4BEA">
        <w:rPr>
          <w:b w:val="0"/>
          <w:i/>
          <w:sz w:val="18"/>
          <w:szCs w:val="18"/>
        </w:rPr>
        <w:t>Natrum muraticum, Nux vomica, Causticum</w:t>
      </w:r>
      <w:r w:rsidRPr="00AC4BEA">
        <w:rPr>
          <w:b w:val="0"/>
          <w:sz w:val="18"/>
          <w:szCs w:val="18"/>
        </w:rPr>
        <w:t xml:space="preserve"> and </w:t>
      </w:r>
      <w:r w:rsidRPr="00AC4BEA">
        <w:rPr>
          <w:b w:val="0"/>
          <w:i/>
          <w:sz w:val="18"/>
          <w:szCs w:val="18"/>
        </w:rPr>
        <w:t>Lycopodium</w:t>
      </w:r>
      <w:r w:rsidRPr="00AC4BEA">
        <w:rPr>
          <w:b w:val="0"/>
          <w:sz w:val="18"/>
          <w:szCs w:val="18"/>
        </w:rPr>
        <w:t xml:space="preserve"> were found useful in the management of essential hypertension. Wilcoxon’s signed rank test was used to analyze the data</w:t>
      </w:r>
      <w:r w:rsidR="00C36F6C">
        <w:rPr>
          <w:b w:val="0"/>
          <w:sz w:val="18"/>
          <w:szCs w:val="18"/>
        </w:rPr>
        <w:t xml:space="preserve">. </w:t>
      </w:r>
      <w:r w:rsidRPr="00AC4BEA">
        <w:rPr>
          <w:b w:val="0"/>
          <w:sz w:val="18"/>
          <w:szCs w:val="18"/>
        </w:rPr>
        <w:t>Clinical presentation of essential hypertension as Metabolic syndrome X was present in 46.67% of the cases.</w:t>
      </w:r>
    </w:p>
    <w:p w:rsidR="00AE3E37" w:rsidRDefault="00A9710C" w:rsidP="00AC4BEA">
      <w:pPr>
        <w:pStyle w:val="Heading3"/>
        <w:spacing w:before="74"/>
        <w:jc w:val="both"/>
      </w:pPr>
      <w:r>
        <w:rPr>
          <w:b w:val="0"/>
        </w:rPr>
        <w:br w:type="column"/>
      </w:r>
      <w:r w:rsidR="00C36F6C">
        <w:rPr>
          <w:b w:val="0"/>
        </w:rPr>
        <w:lastRenderedPageBreak/>
        <w:t xml:space="preserve"> </w:t>
      </w:r>
      <w:r>
        <w:rPr>
          <w:color w:val="BF5A14"/>
        </w:rPr>
        <w:t>Image</w:t>
      </w:r>
    </w:p>
    <w:p w:rsidR="00AE3E37" w:rsidRDefault="00A928C9">
      <w:pPr>
        <w:pStyle w:val="BodyText"/>
        <w:spacing w:before="2"/>
        <w:rPr>
          <w:noProof/>
        </w:rPr>
      </w:pPr>
      <w:r>
        <w:rPr>
          <w:noProof/>
        </w:rPr>
        <w:drawing>
          <wp:anchor distT="0" distB="0" distL="114300" distR="114300" simplePos="0" relativeHeight="251659264" behindDoc="0" locked="0" layoutInCell="1" allowOverlap="1">
            <wp:simplePos x="0" y="0"/>
            <wp:positionH relativeFrom="column">
              <wp:posOffset>194310</wp:posOffset>
            </wp:positionH>
            <wp:positionV relativeFrom="paragraph">
              <wp:posOffset>114300</wp:posOffset>
            </wp:positionV>
            <wp:extent cx="2918460" cy="1974850"/>
            <wp:effectExtent l="0" t="0" r="0" b="0"/>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2918460" cy="1974850"/>
                    </a:xfrm>
                    <a:prstGeom prst="rect">
                      <a:avLst/>
                    </a:prstGeom>
                    <a:noFill/>
                    <a:ln w="9525">
                      <a:noFill/>
                      <a:miter lim="800000"/>
                      <a:headEnd/>
                      <a:tailEnd/>
                    </a:ln>
                  </pic:spPr>
                </pic:pic>
              </a:graphicData>
            </a:graphic>
          </wp:anchor>
        </w:drawing>
      </w:r>
      <w:r w:rsidR="00E816D5">
        <w:rPr>
          <w:noProof/>
        </w:rPr>
        <w:t xml:space="preserve"> </w:t>
      </w:r>
    </w:p>
    <w:p w:rsidR="00E816D5" w:rsidRDefault="00E816D5">
      <w:pPr>
        <w:pStyle w:val="BodyText"/>
        <w:spacing w:before="2"/>
        <w:rPr>
          <w:rFonts w:ascii="Arial"/>
          <w:b/>
          <w:sz w:val="16"/>
        </w:rPr>
      </w:pPr>
    </w:p>
    <w:p w:rsidR="00E816D5" w:rsidRDefault="005973B9" w:rsidP="005973B9">
      <w:pPr>
        <w:spacing w:line="204" w:lineRule="exact"/>
        <w:rPr>
          <w:rFonts w:ascii="Arial"/>
          <w:b/>
          <w:color w:val="BF5A14"/>
          <w:sz w:val="20"/>
        </w:rPr>
      </w:pPr>
      <w:r>
        <w:rPr>
          <w:rFonts w:ascii="Arial"/>
          <w:b/>
          <w:color w:val="BF5A14"/>
          <w:sz w:val="20"/>
        </w:rPr>
        <w:br/>
      </w:r>
    </w:p>
    <w:p w:rsidR="00E816D5" w:rsidRDefault="00E816D5" w:rsidP="005973B9">
      <w:pPr>
        <w:spacing w:line="204" w:lineRule="exact"/>
        <w:rPr>
          <w:rFonts w:ascii="Arial"/>
          <w:b/>
          <w:color w:val="BF5A14"/>
          <w:sz w:val="20"/>
        </w:rPr>
      </w:pPr>
    </w:p>
    <w:p w:rsidR="00E816D5" w:rsidRDefault="00E816D5" w:rsidP="005973B9">
      <w:pPr>
        <w:spacing w:line="204" w:lineRule="exact"/>
        <w:rPr>
          <w:rFonts w:ascii="Arial"/>
          <w:b/>
          <w:color w:val="BF5A14"/>
          <w:sz w:val="20"/>
        </w:rPr>
      </w:pPr>
    </w:p>
    <w:p w:rsidR="00E816D5" w:rsidRDefault="00E816D5" w:rsidP="005973B9">
      <w:pPr>
        <w:spacing w:line="204" w:lineRule="exact"/>
        <w:rPr>
          <w:rFonts w:ascii="Arial"/>
          <w:b/>
          <w:color w:val="BF5A14"/>
          <w:sz w:val="20"/>
        </w:rPr>
      </w:pPr>
    </w:p>
    <w:p w:rsidR="00E816D5" w:rsidRDefault="00E816D5" w:rsidP="005973B9">
      <w:pPr>
        <w:spacing w:line="204" w:lineRule="exact"/>
        <w:rPr>
          <w:rFonts w:ascii="Arial"/>
          <w:b/>
          <w:color w:val="BF5A14"/>
          <w:sz w:val="20"/>
        </w:rPr>
      </w:pPr>
    </w:p>
    <w:p w:rsidR="00E816D5" w:rsidRDefault="00E816D5" w:rsidP="005973B9">
      <w:pPr>
        <w:spacing w:line="204" w:lineRule="exact"/>
        <w:rPr>
          <w:rFonts w:ascii="Arial"/>
          <w:b/>
          <w:color w:val="BF5A14"/>
          <w:sz w:val="20"/>
        </w:rPr>
      </w:pPr>
    </w:p>
    <w:p w:rsidR="00E816D5" w:rsidRDefault="00E816D5" w:rsidP="005973B9">
      <w:pPr>
        <w:spacing w:line="204" w:lineRule="exact"/>
        <w:rPr>
          <w:rFonts w:ascii="Arial"/>
          <w:b/>
          <w:color w:val="BF5A14"/>
          <w:sz w:val="20"/>
        </w:rPr>
      </w:pPr>
    </w:p>
    <w:p w:rsidR="00E816D5" w:rsidRDefault="00E816D5" w:rsidP="005973B9">
      <w:pPr>
        <w:spacing w:line="204" w:lineRule="exact"/>
        <w:rPr>
          <w:rFonts w:ascii="Arial"/>
          <w:b/>
          <w:color w:val="BF5A14"/>
          <w:sz w:val="20"/>
        </w:rPr>
      </w:pPr>
    </w:p>
    <w:p w:rsidR="00E816D5" w:rsidRDefault="00E816D5" w:rsidP="005973B9">
      <w:pPr>
        <w:spacing w:line="204" w:lineRule="exact"/>
        <w:rPr>
          <w:rFonts w:ascii="Arial"/>
          <w:b/>
          <w:color w:val="BF5A14"/>
          <w:sz w:val="20"/>
        </w:rPr>
      </w:pPr>
    </w:p>
    <w:p w:rsidR="00E816D5" w:rsidRDefault="00E816D5" w:rsidP="005973B9">
      <w:pPr>
        <w:spacing w:line="204" w:lineRule="exact"/>
        <w:rPr>
          <w:rFonts w:ascii="Arial"/>
          <w:b/>
          <w:color w:val="BF5A14"/>
          <w:sz w:val="20"/>
        </w:rPr>
      </w:pPr>
    </w:p>
    <w:p w:rsidR="00E816D5" w:rsidRDefault="00E816D5" w:rsidP="005973B9">
      <w:pPr>
        <w:spacing w:line="204" w:lineRule="exact"/>
        <w:rPr>
          <w:rFonts w:ascii="Arial"/>
          <w:b/>
          <w:color w:val="BF5A14"/>
          <w:sz w:val="20"/>
        </w:rPr>
      </w:pPr>
    </w:p>
    <w:p w:rsidR="00E816D5" w:rsidRDefault="00E816D5" w:rsidP="005973B9">
      <w:pPr>
        <w:spacing w:line="204" w:lineRule="exact"/>
        <w:rPr>
          <w:rFonts w:ascii="Arial"/>
          <w:b/>
          <w:color w:val="BF5A14"/>
          <w:sz w:val="20"/>
        </w:rPr>
      </w:pPr>
    </w:p>
    <w:p w:rsidR="00E816D5" w:rsidRDefault="00E816D5" w:rsidP="005973B9">
      <w:pPr>
        <w:spacing w:line="204" w:lineRule="exact"/>
        <w:rPr>
          <w:rFonts w:ascii="Arial"/>
          <w:b/>
          <w:color w:val="BF5A14"/>
          <w:sz w:val="20"/>
        </w:rPr>
      </w:pPr>
    </w:p>
    <w:p w:rsidR="00E816D5" w:rsidRDefault="00E816D5" w:rsidP="005973B9">
      <w:pPr>
        <w:spacing w:line="204" w:lineRule="exact"/>
        <w:rPr>
          <w:rFonts w:ascii="Arial"/>
          <w:b/>
          <w:color w:val="BF5A14"/>
          <w:sz w:val="20"/>
        </w:rPr>
      </w:pPr>
    </w:p>
    <w:p w:rsidR="00A928C9" w:rsidRPr="00A928C9" w:rsidRDefault="00A928C9" w:rsidP="005973B9">
      <w:pPr>
        <w:spacing w:line="204" w:lineRule="exact"/>
        <w:rPr>
          <w:rFonts w:ascii="Arial"/>
          <w:b/>
          <w:color w:val="BF5A14"/>
          <w:sz w:val="20"/>
        </w:rPr>
      </w:pPr>
      <w:r>
        <w:rPr>
          <w:rFonts w:ascii="Arial"/>
          <w:b/>
          <w:color w:val="BF5A14"/>
          <w:sz w:val="20"/>
        </w:rPr>
        <w:t>References:</w:t>
      </w:r>
    </w:p>
    <w:p w:rsidR="00A928C9" w:rsidRPr="00A928C9" w:rsidRDefault="00A928C9" w:rsidP="00A928C9">
      <w:pPr>
        <w:pStyle w:val="ListParagraph"/>
        <w:numPr>
          <w:ilvl w:val="0"/>
          <w:numId w:val="3"/>
        </w:numPr>
        <w:tabs>
          <w:tab w:val="left" w:pos="384"/>
        </w:tabs>
        <w:spacing w:before="92" w:line="218" w:lineRule="exact"/>
        <w:ind w:hanging="283"/>
        <w:rPr>
          <w:sz w:val="18"/>
        </w:rPr>
      </w:pPr>
      <w:r w:rsidRPr="00A928C9">
        <w:rPr>
          <w:sz w:val="18"/>
        </w:rPr>
        <w:t xml:space="preserve">Aram V. Chobanian, George L. Bakris, Henry R. Black, William C. Cushman, Lee A. Green, Joseph L. Izzo, </w:t>
      </w:r>
      <w:r w:rsidRPr="00A928C9">
        <w:rPr>
          <w:sz w:val="18"/>
          <w:lang w:val="fr-FR"/>
        </w:rPr>
        <w:t xml:space="preserve">et al.  </w:t>
      </w:r>
      <w:r w:rsidRPr="00A928C9">
        <w:rPr>
          <w:bCs/>
          <w:sz w:val="18"/>
        </w:rPr>
        <w:t>Seventh report of the joint national committee on prevention, detection, evaluation, and treatment of high blood pressure.</w:t>
      </w:r>
      <w:r w:rsidRPr="00A928C9">
        <w:rPr>
          <w:sz w:val="18"/>
          <w:lang w:val="fr-FR"/>
        </w:rPr>
        <w:t xml:space="preserve"> Hypertension, Dec. 2003, 42:1206-52.</w:t>
      </w:r>
    </w:p>
    <w:p w:rsidR="00A928C9" w:rsidRPr="00A928C9" w:rsidRDefault="00A928C9" w:rsidP="00A928C9">
      <w:pPr>
        <w:pStyle w:val="ListParagraph"/>
        <w:numPr>
          <w:ilvl w:val="0"/>
          <w:numId w:val="3"/>
        </w:numPr>
        <w:tabs>
          <w:tab w:val="left" w:pos="384"/>
        </w:tabs>
        <w:spacing w:before="92" w:line="218" w:lineRule="exact"/>
        <w:ind w:hanging="283"/>
        <w:rPr>
          <w:b/>
          <w:sz w:val="18"/>
        </w:rPr>
      </w:pPr>
      <w:r w:rsidRPr="00A928C9">
        <w:rPr>
          <w:sz w:val="18"/>
        </w:rPr>
        <w:t xml:space="preserve">Hypertension. </w:t>
      </w:r>
      <w:hyperlink r:id="rId10" w:history="1">
        <w:r w:rsidRPr="00A928C9">
          <w:rPr>
            <w:rStyle w:val="Hyperlink"/>
            <w:sz w:val="18"/>
          </w:rPr>
          <w:t>http://emedicine.medscape.com/article/241381-overview. Accessed on 23.2.13</w:t>
        </w:r>
      </w:hyperlink>
    </w:p>
    <w:p w:rsidR="00A928C9" w:rsidRDefault="00A928C9" w:rsidP="00A928C9">
      <w:pPr>
        <w:pStyle w:val="ListParagraph"/>
        <w:numPr>
          <w:ilvl w:val="0"/>
          <w:numId w:val="3"/>
        </w:numPr>
        <w:tabs>
          <w:tab w:val="left" w:pos="384"/>
        </w:tabs>
        <w:spacing w:before="92" w:line="218" w:lineRule="exact"/>
        <w:ind w:hanging="283"/>
        <w:rPr>
          <w:sz w:val="18"/>
        </w:rPr>
      </w:pPr>
      <w:r w:rsidRPr="00A928C9">
        <w:rPr>
          <w:sz w:val="18"/>
        </w:rPr>
        <w:t>Anand Paul M. Epidemiology of hypertension in India. Indian Heart J. 2010; 62:388-93.</w:t>
      </w:r>
    </w:p>
    <w:p w:rsidR="00A928C9" w:rsidRPr="00A928C9" w:rsidRDefault="00A928C9" w:rsidP="00A928C9">
      <w:pPr>
        <w:widowControl/>
        <w:numPr>
          <w:ilvl w:val="0"/>
          <w:numId w:val="3"/>
        </w:numPr>
        <w:spacing w:line="276" w:lineRule="auto"/>
        <w:jc w:val="both"/>
        <w:rPr>
          <w:rFonts w:ascii="Calibri" w:eastAsia="Calibri" w:hAnsi="Calibri" w:cs="Calibri"/>
          <w:bCs/>
          <w:sz w:val="18"/>
        </w:rPr>
      </w:pPr>
      <w:r w:rsidRPr="00A928C9">
        <w:rPr>
          <w:rFonts w:ascii="Calibri" w:eastAsia="Calibri" w:hAnsi="Calibri" w:cs="Calibri"/>
          <w:bCs/>
          <w:sz w:val="18"/>
        </w:rPr>
        <w:t>M. Bignamini et al. Controlled double blind trial with Baryta carb. 15CH versus placebo in a group of hypertensive subjects confined to bed in two old people’s homes. British Homoeopathic Journal. July 1987, Vol. 76(3):114-19.</w:t>
      </w:r>
    </w:p>
    <w:p w:rsidR="00A928C9" w:rsidRPr="00A928C9" w:rsidRDefault="00A928C9" w:rsidP="00A928C9">
      <w:pPr>
        <w:widowControl/>
        <w:numPr>
          <w:ilvl w:val="0"/>
          <w:numId w:val="3"/>
        </w:numPr>
        <w:spacing w:line="276" w:lineRule="auto"/>
        <w:jc w:val="both"/>
        <w:rPr>
          <w:rFonts w:ascii="Calibri" w:eastAsia="Calibri" w:hAnsi="Calibri" w:cs="Calibri"/>
          <w:bCs/>
          <w:sz w:val="18"/>
        </w:rPr>
      </w:pPr>
      <w:r w:rsidRPr="00A928C9">
        <w:rPr>
          <w:rFonts w:ascii="Calibri" w:eastAsia="Calibri" w:hAnsi="Calibri" w:cs="Calibri"/>
          <w:bCs/>
          <w:sz w:val="18"/>
        </w:rPr>
        <w:t>Master Farokh J. A study of homeopathic drugs in essential hypertension. British Homoeopathic Journal, 1987 76(3):120-1.</w:t>
      </w:r>
    </w:p>
    <w:p w:rsidR="00AE3E37" w:rsidRPr="00A928C9" w:rsidRDefault="00A928C9" w:rsidP="00A928C9">
      <w:pPr>
        <w:widowControl/>
        <w:numPr>
          <w:ilvl w:val="0"/>
          <w:numId w:val="3"/>
        </w:numPr>
        <w:spacing w:line="276" w:lineRule="auto"/>
        <w:jc w:val="both"/>
        <w:rPr>
          <w:rFonts w:ascii="Calibri" w:eastAsia="Calibri" w:hAnsi="Calibri" w:cs="Calibri"/>
          <w:bCs/>
          <w:sz w:val="18"/>
        </w:rPr>
      </w:pPr>
      <w:r w:rsidRPr="00A928C9">
        <w:rPr>
          <w:rFonts w:ascii="Calibri" w:eastAsia="Calibri" w:hAnsi="Calibri" w:cs="Calibri"/>
          <w:bCs/>
          <w:sz w:val="18"/>
        </w:rPr>
        <w:t>Singh RK, Kasliwal RR. Efficacy of Homoeopathic Drugs in the treatment of Essential Hypertension: A Study in a Specialized Cardiac Hospital. Indian Heart Journal 2004; 56: 525.</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Pr="00D62425" w:rsidRDefault="00D62425">
      <w:pPr>
        <w:pStyle w:val="BodyText"/>
        <w:rPr>
          <w:rFonts w:ascii="Calibri"/>
          <w:b/>
          <w:sz w:val="20"/>
        </w:rPr>
      </w:pPr>
      <w:r w:rsidRPr="00D62425">
        <w:rPr>
          <w:rFonts w:ascii="Calibri"/>
          <w:b/>
          <w:sz w:val="20"/>
        </w:rPr>
        <w:lastRenderedPageBreak/>
        <w:t>Photograph</w:t>
      </w:r>
    </w:p>
    <w:p w:rsidR="00AE3E37" w:rsidRDefault="00BE5F79">
      <w:pPr>
        <w:pStyle w:val="BodyText"/>
        <w:spacing w:line="40" w:lineRule="exact"/>
        <w:ind w:left="2202"/>
        <w:rPr>
          <w:rFonts w:ascii="Calibri"/>
          <w:sz w:val="4"/>
        </w:rPr>
      </w:pPr>
      <w:r w:rsidRPr="00BE5F79">
        <w:rPr>
          <w:rFonts w:ascii="Calibri"/>
          <w:noProof/>
          <w:sz w:val="4"/>
          <w:lang w:val="en-IN" w:eastAsia="en-IN"/>
        </w:rPr>
      </w:r>
      <w:r w:rsidRPr="00BE5F79">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62054E" w:rsidP="00404E5B">
      <w:pPr>
        <w:spacing w:before="92"/>
        <w:ind w:right="4234"/>
        <w:rPr>
          <w:rFonts w:ascii="Arial"/>
        </w:rPr>
      </w:pPr>
      <w:r>
        <w:rPr>
          <w:noProof/>
        </w:rPr>
        <w:drawing>
          <wp:inline distT="0" distB="0" distL="0" distR="0">
            <wp:extent cx="653948" cy="639220"/>
            <wp:effectExtent l="19050" t="0" r="0" b="0"/>
            <wp:docPr id="2" name="Picture 2" descr="C:\Users\User\Downloads\Dr. Pritha Mehra Pi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Dr. Pritha Mehra Pic.jpeg"/>
                    <pic:cNvPicPr>
                      <a:picLocks noChangeAspect="1" noChangeArrowheads="1"/>
                    </pic:cNvPicPr>
                  </pic:nvPicPr>
                  <pic:blipFill>
                    <a:blip r:embed="rId11"/>
                    <a:srcRect/>
                    <a:stretch>
                      <a:fillRect/>
                    </a:stretch>
                  </pic:blipFill>
                  <pic:spPr bwMode="auto">
                    <a:xfrm>
                      <a:off x="0" y="0"/>
                      <a:ext cx="655824" cy="641054"/>
                    </a:xfrm>
                    <a:prstGeom prst="rect">
                      <a:avLst/>
                    </a:prstGeom>
                    <a:noFill/>
                    <a:ln w="9525">
                      <a:noFill/>
                      <a:miter lim="800000"/>
                      <a:headEnd/>
                      <a:tailEnd/>
                    </a:ln>
                  </pic:spPr>
                </pic:pic>
              </a:graphicData>
            </a:graphic>
          </wp:inline>
        </w:drawing>
      </w:r>
      <w:r w:rsidR="00A9710C">
        <w:rPr>
          <w:rFonts w:ascii="Arial"/>
          <w:color w:val="BF5A14"/>
        </w:rPr>
        <w:t>Biography</w:t>
      </w:r>
    </w:p>
    <w:p w:rsidR="0062054E" w:rsidRPr="0062054E" w:rsidRDefault="0062054E" w:rsidP="0062054E">
      <w:pPr>
        <w:spacing w:before="41" w:line="154" w:lineRule="exact"/>
        <w:ind w:left="213" w:right="231"/>
        <w:jc w:val="both"/>
        <w:rPr>
          <w:rFonts w:ascii="Arial"/>
          <w:sz w:val="14"/>
        </w:rPr>
      </w:pPr>
      <w:r w:rsidRPr="00A928C9">
        <w:rPr>
          <w:rFonts w:ascii="Arial"/>
          <w:sz w:val="14"/>
        </w:rPr>
        <w:t xml:space="preserve">Dr. Pritha Mehra </w:t>
      </w:r>
      <w:r w:rsidR="00A928C9" w:rsidRPr="00A928C9">
        <w:rPr>
          <w:rFonts w:ascii="Arial"/>
          <w:sz w:val="14"/>
        </w:rPr>
        <w:t>is Post Graduate (</w:t>
      </w:r>
      <w:r w:rsidR="009738A4" w:rsidRPr="00A928C9">
        <w:rPr>
          <w:rFonts w:ascii="Arial"/>
          <w:sz w:val="14"/>
        </w:rPr>
        <w:t>MD in Homoeopathy</w:t>
      </w:r>
      <w:r w:rsidR="00A928C9" w:rsidRPr="00A928C9">
        <w:rPr>
          <w:rFonts w:ascii="Arial"/>
          <w:sz w:val="14"/>
        </w:rPr>
        <w:t>).</w:t>
      </w:r>
      <w:r w:rsidR="00AC4BEA" w:rsidRPr="00A928C9">
        <w:rPr>
          <w:rFonts w:ascii="Arial"/>
          <w:sz w:val="14"/>
        </w:rPr>
        <w:t xml:space="preserve"> She coauthored a book titled </w:t>
      </w:r>
      <w:r w:rsidR="00AC4BEA" w:rsidRPr="00A928C9">
        <w:rPr>
          <w:rFonts w:ascii="Arial"/>
          <w:sz w:val="14"/>
        </w:rPr>
        <w:t>‘</w:t>
      </w:r>
      <w:r w:rsidR="00AC4BEA" w:rsidRPr="00A928C9">
        <w:rPr>
          <w:rFonts w:ascii="Arial"/>
          <w:sz w:val="14"/>
        </w:rPr>
        <w:t>History of medicine &amp; contribution of Hahnemann</w:t>
      </w:r>
      <w:r w:rsidR="00AC4BEA" w:rsidRPr="00A928C9">
        <w:rPr>
          <w:rFonts w:ascii="Arial"/>
          <w:sz w:val="14"/>
        </w:rPr>
        <w:t>’</w:t>
      </w:r>
      <w:r w:rsidR="00AC4BEA" w:rsidRPr="00A928C9">
        <w:rPr>
          <w:rFonts w:ascii="Arial"/>
          <w:sz w:val="14"/>
        </w:rPr>
        <w:t xml:space="preserve"> with Late Dr. Diwan Harish Chand, a world renowned homoeopath and physician of the President of India.</w:t>
      </w:r>
      <w:r w:rsidR="00A928C9">
        <w:rPr>
          <w:rFonts w:ascii="Arial"/>
          <w:sz w:val="14"/>
        </w:rPr>
        <w:t xml:space="preserve"> </w:t>
      </w:r>
      <w:r w:rsidR="009738A4" w:rsidRPr="00A928C9">
        <w:rPr>
          <w:rFonts w:ascii="Arial"/>
          <w:sz w:val="14"/>
        </w:rPr>
        <w:t xml:space="preserve">Having the </w:t>
      </w:r>
      <w:r w:rsidR="00A928C9" w:rsidRPr="00A928C9">
        <w:rPr>
          <w:rFonts w:ascii="Arial"/>
          <w:sz w:val="14"/>
        </w:rPr>
        <w:t xml:space="preserve">writing skills, </w:t>
      </w:r>
      <w:r w:rsidR="009738A4" w:rsidRPr="00A928C9">
        <w:rPr>
          <w:rFonts w:ascii="Arial"/>
          <w:sz w:val="14"/>
        </w:rPr>
        <w:t xml:space="preserve">research aptitude and inclination towards treating the patients, she was </w:t>
      </w:r>
      <w:r w:rsidRPr="00A928C9">
        <w:rPr>
          <w:rFonts w:ascii="Arial"/>
          <w:sz w:val="14"/>
        </w:rPr>
        <w:t>appointed as a Research Officer (Homoeopathy)</w:t>
      </w:r>
      <w:r w:rsidR="009738A4" w:rsidRPr="00A928C9">
        <w:rPr>
          <w:rFonts w:ascii="Arial"/>
          <w:sz w:val="14"/>
        </w:rPr>
        <w:t>/Scientist -1 at Central Coun</w:t>
      </w:r>
      <w:r w:rsidR="00E816D5" w:rsidRPr="00A928C9">
        <w:rPr>
          <w:rFonts w:ascii="Arial"/>
          <w:sz w:val="14"/>
        </w:rPr>
        <w:t>cil for Research in Homoeopathy</w:t>
      </w:r>
      <w:r w:rsidR="009738A4" w:rsidRPr="00A928C9">
        <w:rPr>
          <w:rFonts w:ascii="Arial"/>
          <w:sz w:val="14"/>
        </w:rPr>
        <w:t>, New Delhi under the aegis of Ministry of AYUSH, Government of India in 2010</w:t>
      </w:r>
      <w:r w:rsidR="00AC4BEA" w:rsidRPr="00A928C9">
        <w:rPr>
          <w:rFonts w:ascii="Arial"/>
          <w:sz w:val="14"/>
        </w:rPr>
        <w:t>. A</w:t>
      </w:r>
      <w:r w:rsidR="009738A4" w:rsidRPr="00A928C9">
        <w:rPr>
          <w:rFonts w:ascii="Arial"/>
          <w:sz w:val="14"/>
        </w:rPr>
        <w:t>t</w:t>
      </w:r>
      <w:r w:rsidRPr="00A928C9">
        <w:rPr>
          <w:rFonts w:ascii="Arial"/>
          <w:sz w:val="14"/>
        </w:rPr>
        <w:t xml:space="preserve"> </w:t>
      </w:r>
      <w:r w:rsidR="009738A4" w:rsidRPr="00A928C9">
        <w:rPr>
          <w:rFonts w:ascii="Arial"/>
          <w:sz w:val="14"/>
        </w:rPr>
        <w:t>present</w:t>
      </w:r>
      <w:r w:rsidR="00E816D5" w:rsidRPr="00A928C9">
        <w:rPr>
          <w:rFonts w:ascii="Arial"/>
          <w:sz w:val="14"/>
        </w:rPr>
        <w:t xml:space="preserve">, </w:t>
      </w:r>
      <w:r w:rsidR="00AC4BEA" w:rsidRPr="00A928C9">
        <w:rPr>
          <w:rFonts w:ascii="Arial"/>
          <w:sz w:val="14"/>
        </w:rPr>
        <w:t>she</w:t>
      </w:r>
      <w:r w:rsidRPr="00A928C9">
        <w:rPr>
          <w:rFonts w:ascii="Arial"/>
          <w:sz w:val="14"/>
        </w:rPr>
        <w:t xml:space="preserve"> is the coordinator for Drug Proving Research Programme </w:t>
      </w:r>
      <w:r w:rsidR="00AC4BEA" w:rsidRPr="00A928C9">
        <w:rPr>
          <w:rFonts w:ascii="Arial"/>
          <w:sz w:val="14"/>
        </w:rPr>
        <w:t xml:space="preserve">of </w:t>
      </w:r>
      <w:r w:rsidRPr="00A928C9">
        <w:rPr>
          <w:rFonts w:ascii="Arial"/>
          <w:sz w:val="14"/>
        </w:rPr>
        <w:t>the Council. She has contributed substantially in the research projects, namely Benign Prostatic Hyperplasia RCT study, Diabetic Distal Symmetric Polyneuropathy RCT study. She has been part of the editorial team of Indian Journal of Research in Homoeopathy and has been reviewing research and general articles of various journal and magazines. The author has published research articles in National and International peer-reviewed journals.</w:t>
      </w:r>
    </w:p>
    <w:p w:rsidR="00AE3E37" w:rsidRDefault="00A9710C">
      <w:pPr>
        <w:spacing w:before="62"/>
        <w:ind w:left="4217" w:right="4235"/>
        <w:jc w:val="center"/>
        <w:rPr>
          <w:rFonts w:ascii="Arial"/>
          <w:sz w:val="14"/>
        </w:rPr>
      </w:pPr>
      <w:r>
        <w:rPr>
          <w:rFonts w:ascii="Arial"/>
          <w:sz w:val="14"/>
        </w:rPr>
        <w:t xml:space="preserve">Email: </w:t>
      </w:r>
      <w:hyperlink r:id="rId12" w:history="1">
        <w:r w:rsidR="00AC4BEA" w:rsidRPr="00646C45">
          <w:rPr>
            <w:rStyle w:val="Hyperlink"/>
            <w:rFonts w:ascii="Arial"/>
            <w:sz w:val="14"/>
          </w:rPr>
          <w:t>drpritha@gmail.com</w:t>
        </w:r>
      </w:hyperlink>
      <w:r w:rsidR="00AC4BEA">
        <w:rPr>
          <w:rFonts w:ascii="Arial"/>
          <w:sz w:val="14"/>
        </w:rPr>
        <w:t xml:space="preserve"> </w:t>
      </w:r>
    </w:p>
    <w:p w:rsidR="00AE3E37" w:rsidRDefault="00BE5F79" w:rsidP="00A928C9">
      <w:pPr>
        <w:pStyle w:val="BodyText"/>
        <w:spacing w:before="2"/>
        <w:rPr>
          <w:rFonts w:ascii="Minion Pro"/>
          <w:sz w:val="24"/>
        </w:rPr>
        <w:sectPr w:rsidR="00AE3E37">
          <w:type w:val="continuous"/>
          <w:pgSz w:w="11910" w:h="16840"/>
          <w:pgMar w:top="1740" w:right="600" w:bottom="840" w:left="620" w:header="720" w:footer="720" w:gutter="0"/>
          <w:cols w:space="720"/>
        </w:sectPr>
      </w:pPr>
      <w:bookmarkStart w:id="0" w:name="_GoBack"/>
      <w:bookmarkEnd w:id="0"/>
      <w:r w:rsidRPr="00BE5F79">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A9710C" w:rsidRPr="00B21A57">
        <w:rPr>
          <w:rFonts w:ascii="Minion Pro"/>
          <w:b/>
          <w:sz w:val="20"/>
        </w:rPr>
        <w:t>Notes/Comments:</w:t>
      </w:r>
      <w:r w:rsidR="00A928C9">
        <w:rPr>
          <w:rFonts w:ascii="Minion Pro"/>
          <w:b/>
          <w:sz w:val="20"/>
        </w:rPr>
        <w:t xml:space="preserve"> I would like to make an oral presentation of this exploratory study in this prestigious conference.</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09DD" w:rsidRDefault="000809DD">
      <w:r>
        <w:separator/>
      </w:r>
    </w:p>
  </w:endnote>
  <w:endnote w:type="continuationSeparator" w:id="1">
    <w:p w:rsidR="000809DD" w:rsidRDefault="000809D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E5F79">
    <w:pPr>
      <w:pStyle w:val="BodyText"/>
      <w:spacing w:line="14" w:lineRule="auto"/>
      <w:rPr>
        <w:sz w:val="20"/>
      </w:rPr>
    </w:pPr>
    <w:r w:rsidRPr="00BE5F79">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BE5F79">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E5F79">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09DD" w:rsidRDefault="000809DD">
      <w:r>
        <w:separator/>
      </w:r>
    </w:p>
  </w:footnote>
  <w:footnote w:type="continuationSeparator" w:id="1">
    <w:p w:rsidR="000809DD" w:rsidRDefault="000809D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E5F79">
    <w:pPr>
      <w:pStyle w:val="BodyText"/>
      <w:spacing w:line="14" w:lineRule="auto"/>
      <w:rPr>
        <w:sz w:val="20"/>
      </w:rPr>
    </w:pPr>
    <w:r w:rsidRPr="00BE5F79">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BE5F79">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217D6"/>
    <w:multiLevelType w:val="hybridMultilevel"/>
    <w:tmpl w:val="12B8749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B83047A"/>
    <w:multiLevelType w:val="hybridMultilevel"/>
    <w:tmpl w:val="5B6CBBE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C80552"/>
    <w:multiLevelType w:val="hybridMultilevel"/>
    <w:tmpl w:val="BD54C6FC"/>
    <w:lvl w:ilvl="0" w:tplc="47DACF62">
      <w:start w:val="1"/>
      <w:numFmt w:val="decimal"/>
      <w:lvlText w:val="%1."/>
      <w:lvlJc w:val="left"/>
      <w:pPr>
        <w:ind w:left="383" w:hanging="284"/>
      </w:pPr>
      <w:rPr>
        <w:rFonts w:ascii="Calibri" w:eastAsia="Calibri" w:hAnsi="Calibri" w:cs="Calibri" w:hint="default"/>
        <w:b w:val="0"/>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809DD"/>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2054E"/>
    <w:rsid w:val="0063497F"/>
    <w:rsid w:val="0078738A"/>
    <w:rsid w:val="00873DF0"/>
    <w:rsid w:val="008756E6"/>
    <w:rsid w:val="009738A4"/>
    <w:rsid w:val="009B2D44"/>
    <w:rsid w:val="00A07E82"/>
    <w:rsid w:val="00A928C9"/>
    <w:rsid w:val="00A9710C"/>
    <w:rsid w:val="00AC4BEA"/>
    <w:rsid w:val="00AE3E37"/>
    <w:rsid w:val="00AF2504"/>
    <w:rsid w:val="00B21A57"/>
    <w:rsid w:val="00BE5F79"/>
    <w:rsid w:val="00C33602"/>
    <w:rsid w:val="00C36F6C"/>
    <w:rsid w:val="00CD6F55"/>
    <w:rsid w:val="00D62425"/>
    <w:rsid w:val="00DE3104"/>
    <w:rsid w:val="00E816D5"/>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drprith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http://emedicine.medscape.com/article/241381-overview.%20Accessed%20on%2023.2.13" TargetMode="Externa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693</Words>
  <Characters>3953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3</cp:revision>
  <dcterms:created xsi:type="dcterms:W3CDTF">2019-04-11T17:36:00Z</dcterms:created>
  <dcterms:modified xsi:type="dcterms:W3CDTF">2019-04-11T17:37:00Z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