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2EC" w:rsidRDefault="00C872EC" w:rsidP="00C872EC">
      <w:pPr>
        <w:jc w:val="both"/>
        <w:rPr>
          <w:lang w:val="en-GB"/>
        </w:rPr>
      </w:pPr>
      <w:r>
        <w:rPr>
          <w:lang w:val="en-GB"/>
        </w:rPr>
        <w:t xml:space="preserve">                                                                                                                       </w:t>
      </w:r>
      <w:r>
        <w:rPr>
          <w:noProof/>
          <w:lang w:val="en-GB" w:eastAsia="en-GB"/>
        </w:rPr>
        <w:drawing>
          <wp:inline distT="0" distB="0" distL="0" distR="0">
            <wp:extent cx="1476375" cy="1685925"/>
            <wp:effectExtent l="19050" t="0" r="9525" b="0"/>
            <wp:docPr id="1" name="Picture 1" descr="Carina Harkin mug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ina Harkin mug shot"/>
                    <pic:cNvPicPr>
                      <a:picLocks noChangeAspect="1" noChangeArrowheads="1"/>
                    </pic:cNvPicPr>
                  </pic:nvPicPr>
                  <pic:blipFill>
                    <a:blip r:embed="rId4" cstate="print"/>
                    <a:srcRect/>
                    <a:stretch>
                      <a:fillRect/>
                    </a:stretch>
                  </pic:blipFill>
                  <pic:spPr bwMode="auto">
                    <a:xfrm>
                      <a:off x="0" y="0"/>
                      <a:ext cx="1476375" cy="1685925"/>
                    </a:xfrm>
                    <a:prstGeom prst="rect">
                      <a:avLst/>
                    </a:prstGeom>
                    <a:noFill/>
                    <a:ln w="9525">
                      <a:noFill/>
                      <a:miter lim="800000"/>
                      <a:headEnd/>
                      <a:tailEnd/>
                    </a:ln>
                  </pic:spPr>
                </pic:pic>
              </a:graphicData>
            </a:graphic>
          </wp:inline>
        </w:drawing>
      </w:r>
    </w:p>
    <w:p w:rsidR="00C872EC" w:rsidRDefault="00C872EC" w:rsidP="00C872EC">
      <w:pPr>
        <w:ind w:left="360"/>
        <w:rPr>
          <w:color w:val="222222"/>
        </w:rPr>
      </w:pPr>
      <w:r>
        <w:rPr>
          <w:b/>
          <w:bCs/>
          <w:color w:val="000000"/>
        </w:rPr>
        <w:t>Title: </w:t>
      </w:r>
      <w:r>
        <w:rPr>
          <w:b/>
          <w:bCs/>
          <w:color w:val="222222"/>
        </w:rPr>
        <w:t>Annual Influenza Vaccine: Review of Current Attitudes, Effectiveness and Natural Evidence Based Alternatives in the likelihood of Influenza Pandemic</w:t>
      </w:r>
    </w:p>
    <w:p w:rsidR="00C872EC" w:rsidRDefault="00C872EC" w:rsidP="00C872EC">
      <w:pPr>
        <w:ind w:left="360"/>
        <w:rPr>
          <w:color w:val="222222"/>
        </w:rPr>
      </w:pPr>
      <w:r>
        <w:rPr>
          <w:color w:val="000000"/>
        </w:rPr>
        <w:t>Influenza Pandemic remains a global threat (WHO), yet from a pharmaceutical perspective, we remain woefully ill-equipped. Health Care Workers (HCW) themselves are statistically the most influenza vaccine hesitant group in the population. With calls being made to make influenza vaccine programmes compulsory, evidence needs to be taken seriously and a critical assessment made. Carina will discuss what is the growing consensus of the ineffectiveness of  the influenza vaccine and the reasons. According to Professor of Virology at Warwick University, Andrew Easton, “A judgement should be made about replacing this [influenza] vaccine in the current climate of limited NHS budget. A re-think is also needed as other therapeutic aids are showing promise.” Carina will discuss alternative evidence based herbal medicine and supplements that specifically match the pharmacological action of drugs to reduce influenza incidence and mortality, and boost natural immunity to provide long standing protection . Topics include increasing interferon and how this works not only as a prophylactic and treatment for influenza but, by addressing Major Histocompatibility Complex (MHC) dysfunction, simultaneously has the capacity to reduce the incidence of autoimmune disease (caused by molecular mimicry). Other topics include viral replication inhibition using natural neuraminidase and polymerase inhibitors and compounds in herbal medicine that specifically reduce the inflammatory cascade known as the cytokine storm, associated with high mortality in influenza pandemics.</w:t>
      </w:r>
    </w:p>
    <w:p w:rsidR="00C872EC" w:rsidRDefault="00C872EC" w:rsidP="00C872EC">
      <w:pPr>
        <w:pStyle w:val="gmail-mol-para-with-font"/>
        <w:spacing w:before="0" w:beforeAutospacing="0" w:after="0" w:afterAutospacing="0"/>
        <w:ind w:left="360"/>
        <w:rPr>
          <w:color w:val="222222"/>
        </w:rPr>
      </w:pPr>
      <w:r>
        <w:rPr>
          <w:color w:val="000000"/>
        </w:rPr>
        <w:t> </w:t>
      </w:r>
    </w:p>
    <w:p w:rsidR="00C872EC" w:rsidRDefault="00C872EC" w:rsidP="00C872EC">
      <w:pPr>
        <w:pStyle w:val="gmail-mol-para-with-font"/>
        <w:spacing w:before="0" w:beforeAutospacing="0" w:after="0" w:afterAutospacing="0"/>
        <w:ind w:left="360"/>
        <w:rPr>
          <w:rFonts w:ascii="Arial" w:hAnsi="Arial" w:cs="Arial"/>
          <w:color w:val="222222"/>
        </w:rPr>
      </w:pPr>
      <w:r>
        <w:rPr>
          <w:b/>
          <w:bCs/>
          <w:color w:val="000000"/>
        </w:rPr>
        <w:t>Biography: </w:t>
      </w:r>
      <w:r>
        <w:rPr>
          <w:color w:val="000000"/>
        </w:rPr>
        <w:t xml:space="preserve">Carina </w:t>
      </w:r>
      <w:proofErr w:type="gramStart"/>
      <w:r>
        <w:rPr>
          <w:color w:val="000000"/>
        </w:rPr>
        <w:t>Harkin</w:t>
      </w:r>
      <w:proofErr w:type="gramEnd"/>
      <w:r>
        <w:rPr>
          <w:color w:val="000000"/>
        </w:rPr>
        <w:t xml:space="preserve"> holds 3 level 8 Bachelor of Health Science degrees in Complementary and Alternative Medicine (CAM), being the world’s first triple degree CAM graduate. </w:t>
      </w:r>
      <w:r>
        <w:rPr>
          <w:color w:val="000000"/>
          <w:spacing w:val="3"/>
        </w:rPr>
        <w:t>Receiving substantial training in pharmacology &amp; having worked in pharmacies, Carina is adept in drug/nutrient and drug/herb safety and </w:t>
      </w:r>
      <w:r>
        <w:rPr>
          <w:color w:val="000000"/>
        </w:rPr>
        <w:t>specialises in matching</w:t>
      </w:r>
      <w:r>
        <w:rPr>
          <w:color w:val="000000"/>
          <w:spacing w:val="-3"/>
        </w:rPr>
        <w:t> </w:t>
      </w:r>
      <w:r>
        <w:rPr>
          <w:color w:val="000000"/>
        </w:rPr>
        <w:t>t</w:t>
      </w:r>
      <w:r>
        <w:rPr>
          <w:color w:val="000000"/>
          <w:spacing w:val="2"/>
        </w:rPr>
        <w:t>h</w:t>
      </w:r>
      <w:r>
        <w:rPr>
          <w:color w:val="000000"/>
        </w:rPr>
        <w:t>e ph</w:t>
      </w:r>
      <w:r>
        <w:rPr>
          <w:color w:val="000000"/>
          <w:spacing w:val="-1"/>
        </w:rPr>
        <w:t>a</w:t>
      </w:r>
      <w:r>
        <w:rPr>
          <w:color w:val="000000"/>
        </w:rPr>
        <w:t>rmacol</w:t>
      </w:r>
      <w:r>
        <w:rPr>
          <w:color w:val="000000"/>
          <w:spacing w:val="2"/>
        </w:rPr>
        <w:t>o</w:t>
      </w:r>
      <w:r>
        <w:rPr>
          <w:color w:val="000000"/>
          <w:spacing w:val="-2"/>
        </w:rPr>
        <w:t>g</w:t>
      </w:r>
      <w:r>
        <w:rPr>
          <w:color w:val="000000"/>
        </w:rPr>
        <w:t>ic</w:t>
      </w:r>
      <w:r>
        <w:rPr>
          <w:color w:val="000000"/>
          <w:spacing w:val="-1"/>
        </w:rPr>
        <w:t>a</w:t>
      </w:r>
      <w:r>
        <w:rPr>
          <w:color w:val="000000"/>
        </w:rPr>
        <w:t>l a</w:t>
      </w:r>
      <w:r>
        <w:rPr>
          <w:color w:val="000000"/>
          <w:spacing w:val="-2"/>
        </w:rPr>
        <w:t>c</w:t>
      </w:r>
      <w:r>
        <w:rPr>
          <w:color w:val="000000"/>
        </w:rPr>
        <w:t>tion of </w:t>
      </w:r>
      <w:r>
        <w:rPr>
          <w:color w:val="000000"/>
          <w:spacing w:val="1"/>
        </w:rPr>
        <w:t>d</w:t>
      </w:r>
      <w:r>
        <w:rPr>
          <w:color w:val="000000"/>
        </w:rPr>
        <w:t>r</w:t>
      </w:r>
      <w:r>
        <w:rPr>
          <w:color w:val="000000"/>
          <w:spacing w:val="2"/>
        </w:rPr>
        <w:t>u</w:t>
      </w:r>
      <w:r>
        <w:rPr>
          <w:color w:val="000000"/>
          <w:spacing w:val="-1"/>
        </w:rPr>
        <w:t>g</w:t>
      </w:r>
      <w:r>
        <w:rPr>
          <w:color w:val="000000"/>
        </w:rPr>
        <w:t>s with active constituents found in herbs. Carina has an online herbal dispensary and supplies organic pharmacy grade herbal extracts worldwide. Carina has experience treating antimicrobial resistant disease, currently beyond the biomedical approach, including MRSA, MDR-TB, MDR </w:t>
      </w:r>
      <w:r>
        <w:rPr>
          <w:rStyle w:val="Emphasis"/>
          <w:i w:val="0"/>
          <w:iCs w:val="0"/>
          <w:color w:val="000000"/>
        </w:rPr>
        <w:t xml:space="preserve">Streptococcus pneumonia &amp; </w:t>
      </w:r>
      <w:proofErr w:type="spellStart"/>
      <w:r>
        <w:rPr>
          <w:rStyle w:val="Emphasis"/>
          <w:i w:val="0"/>
          <w:iCs w:val="0"/>
          <w:color w:val="000000"/>
        </w:rPr>
        <w:t>Haemophilus</w:t>
      </w:r>
      <w:proofErr w:type="spellEnd"/>
      <w:r>
        <w:rPr>
          <w:rStyle w:val="Emphasis"/>
          <w:i w:val="0"/>
          <w:iCs w:val="0"/>
          <w:color w:val="000000"/>
        </w:rPr>
        <w:t xml:space="preserve"> influenza, MDR Candida, Neglected Tropical Disease (NTD) including Dengue, Ross River/ </w:t>
      </w:r>
      <w:proofErr w:type="spellStart"/>
      <w:r>
        <w:rPr>
          <w:rStyle w:val="Emphasis"/>
          <w:i w:val="0"/>
          <w:iCs w:val="0"/>
          <w:color w:val="000000"/>
        </w:rPr>
        <w:t>Barmah</w:t>
      </w:r>
      <w:proofErr w:type="spellEnd"/>
      <w:r>
        <w:rPr>
          <w:rStyle w:val="Emphasis"/>
          <w:i w:val="0"/>
          <w:iCs w:val="0"/>
          <w:color w:val="000000"/>
        </w:rPr>
        <w:t xml:space="preserve"> Forest virus etc, and the rising tide of Non Communicable Disease including autoimmune, allergic and inflammatory disease</w:t>
      </w:r>
      <w:r>
        <w:rPr>
          <w:rStyle w:val="Emphasis"/>
          <w:color w:val="000000"/>
        </w:rPr>
        <w:t>. </w:t>
      </w:r>
      <w:r>
        <w:rPr>
          <w:color w:val="000000"/>
        </w:rPr>
        <w:t>Carina holds a teaching qualification and is an experienced lecturer with 20 years clinical experience. Carina has worked in Public Health, as an acupuncturist</w:t>
      </w:r>
      <w:proofErr w:type="gramStart"/>
      <w:r>
        <w:rPr>
          <w:color w:val="000000"/>
        </w:rPr>
        <w:t>  at</w:t>
      </w:r>
      <w:proofErr w:type="gramEnd"/>
      <w:r>
        <w:rPr>
          <w:color w:val="000000"/>
        </w:rPr>
        <w:t xml:space="preserve"> the Northern Hospital Melbourne, where she conducted a world first trial </w:t>
      </w:r>
      <w:r>
        <w:rPr>
          <w:i/>
          <w:iCs/>
          <w:color w:val="222222"/>
        </w:rPr>
        <w:t>A Prospective, Randomised Control Trial of Acupuncture for Select Common Conditions within the Emergency Department</w:t>
      </w:r>
      <w:r>
        <w:rPr>
          <w:color w:val="000000"/>
        </w:rPr>
        <w:t xml:space="preserve"> </w:t>
      </w:r>
      <w:r w:rsidR="009A1CB4">
        <w:rPr>
          <w:color w:val="000000"/>
        </w:rPr>
        <w:t xml:space="preserve">and </w:t>
      </w:r>
      <w:r>
        <w:rPr>
          <w:color w:val="000000"/>
        </w:rPr>
        <w:t>in Box Hill Hospital’s Drug &amp; Alcohol Rehabilitation Unit. Carina’s goal is to see</w:t>
      </w:r>
      <w:r>
        <w:rPr>
          <w:color w:val="000000"/>
          <w:spacing w:val="-1"/>
        </w:rPr>
        <w:t> </w:t>
      </w:r>
      <w:r>
        <w:rPr>
          <w:color w:val="000000"/>
        </w:rPr>
        <w:t>the</w:t>
      </w:r>
      <w:r>
        <w:rPr>
          <w:color w:val="000000"/>
          <w:spacing w:val="1"/>
        </w:rPr>
        <w:t> </w:t>
      </w:r>
      <w:r>
        <w:rPr>
          <w:color w:val="000000"/>
        </w:rPr>
        <w:t>inte</w:t>
      </w:r>
      <w:r>
        <w:rPr>
          <w:color w:val="000000"/>
          <w:spacing w:val="-2"/>
        </w:rPr>
        <w:t>g</w:t>
      </w:r>
      <w:r>
        <w:rPr>
          <w:color w:val="000000"/>
          <w:spacing w:val="1"/>
        </w:rPr>
        <w:t>r</w:t>
      </w:r>
      <w:r>
        <w:rPr>
          <w:color w:val="000000"/>
        </w:rPr>
        <w:t>ation of</w:t>
      </w:r>
      <w:r>
        <w:rPr>
          <w:color w:val="000000"/>
          <w:spacing w:val="1"/>
        </w:rPr>
        <w:t> </w:t>
      </w:r>
      <w:r>
        <w:rPr>
          <w:color w:val="000000"/>
        </w:rPr>
        <w:t>CAM into mains</w:t>
      </w:r>
      <w:r>
        <w:rPr>
          <w:color w:val="000000"/>
          <w:spacing w:val="1"/>
        </w:rPr>
        <w:t>t</w:t>
      </w:r>
      <w:r>
        <w:rPr>
          <w:color w:val="000000"/>
        </w:rPr>
        <w:t>r</w:t>
      </w:r>
      <w:r>
        <w:rPr>
          <w:color w:val="000000"/>
          <w:spacing w:val="-1"/>
        </w:rPr>
        <w:t>ea</w:t>
      </w:r>
      <w:r>
        <w:rPr>
          <w:color w:val="000000"/>
        </w:rPr>
        <w:t>m he</w:t>
      </w:r>
      <w:r>
        <w:rPr>
          <w:color w:val="000000"/>
          <w:spacing w:val="-1"/>
        </w:rPr>
        <w:t>a</w:t>
      </w:r>
      <w:r>
        <w:rPr>
          <w:color w:val="000000"/>
        </w:rPr>
        <w:t>lth</w:t>
      </w:r>
      <w:r>
        <w:rPr>
          <w:color w:val="000000"/>
          <w:spacing w:val="1"/>
        </w:rPr>
        <w:t>c</w:t>
      </w:r>
      <w:r>
        <w:rPr>
          <w:color w:val="000000"/>
        </w:rPr>
        <w:t>ar</w:t>
      </w:r>
      <w:r>
        <w:rPr>
          <w:color w:val="000000"/>
          <w:spacing w:val="-2"/>
        </w:rPr>
        <w:t>e</w:t>
      </w:r>
      <w:r>
        <w:rPr>
          <w:color w:val="000000"/>
        </w:rPr>
        <w:t> hence she is completing a Masters in Public Health. The WHO are looking at the role Traditional Medicines have in keeping populations healthy &amp; Carina wants help shape future Public Health Policy to improve Global Health Outcomes using Traditional Medicines. Carina is writing her dissertation on The Use of Herbal Medicine to Address the Greatest Global Threat; Antimicrobial Resistance.</w:t>
      </w:r>
    </w:p>
    <w:p w:rsidR="00C872EC" w:rsidRDefault="00C872EC" w:rsidP="00C872EC">
      <w:pPr>
        <w:spacing w:line="190" w:lineRule="atLeast"/>
        <w:ind w:left="720" w:right="86"/>
        <w:rPr>
          <w:color w:val="222222"/>
        </w:rPr>
      </w:pPr>
    </w:p>
    <w:p w:rsidR="00C872EC" w:rsidRDefault="00C872EC" w:rsidP="00C872EC">
      <w:pPr>
        <w:spacing w:line="190" w:lineRule="atLeast"/>
        <w:ind w:left="360"/>
        <w:rPr>
          <w:color w:val="222222"/>
        </w:rPr>
      </w:pPr>
      <w:r>
        <w:rPr>
          <w:b/>
          <w:bCs/>
          <w:color w:val="000000"/>
          <w:u w:val="single"/>
        </w:rPr>
        <w:lastRenderedPageBreak/>
        <w:t>Publications</w:t>
      </w:r>
    </w:p>
    <w:p w:rsidR="00C872EC" w:rsidRDefault="00C872EC" w:rsidP="00C872EC">
      <w:pPr>
        <w:pStyle w:val="gmail-msolistparagraph"/>
        <w:spacing w:before="0" w:beforeAutospacing="0" w:after="0" w:afterAutospacing="0" w:line="202" w:lineRule="atLeast"/>
        <w:ind w:left="360"/>
        <w:rPr>
          <w:rFonts w:ascii="Calibri" w:hAnsi="Calibri" w:cs="Calibri"/>
          <w:color w:val="222222"/>
          <w:sz w:val="22"/>
          <w:szCs w:val="22"/>
        </w:rPr>
      </w:pPr>
      <w:r>
        <w:rPr>
          <w:color w:val="222222"/>
          <w:lang w:val="en-US"/>
        </w:rPr>
        <w:t>Carina Harkin &amp; Dr Roby Parker, </w:t>
      </w:r>
      <w:r>
        <w:rPr>
          <w:i/>
          <w:iCs/>
          <w:color w:val="222222"/>
          <w:lang w:val="en-US"/>
        </w:rPr>
        <w:t xml:space="preserve">A Prospective, </w:t>
      </w:r>
      <w:proofErr w:type="spellStart"/>
      <w:r>
        <w:rPr>
          <w:i/>
          <w:iCs/>
          <w:color w:val="222222"/>
          <w:lang w:val="en-US"/>
        </w:rPr>
        <w:t>Randomised</w:t>
      </w:r>
      <w:proofErr w:type="spellEnd"/>
      <w:r>
        <w:rPr>
          <w:i/>
          <w:iCs/>
          <w:color w:val="222222"/>
          <w:lang w:val="en-US"/>
        </w:rPr>
        <w:t xml:space="preserve"> Control Trial of Acupuncture for Select Common Conditions within the Emergency Department</w:t>
      </w:r>
      <w:r>
        <w:rPr>
          <w:color w:val="222222"/>
          <w:lang w:val="en-US"/>
        </w:rPr>
        <w:t>, </w:t>
      </w:r>
      <w:r>
        <w:rPr>
          <w:color w:val="222222"/>
          <w:u w:val="single"/>
          <w:lang w:val="en-US"/>
        </w:rPr>
        <w:t>Journal of Chinese Medicine</w:t>
      </w:r>
      <w:r>
        <w:rPr>
          <w:color w:val="222222"/>
          <w:lang w:val="en-US"/>
        </w:rPr>
        <w:t>, Number 85, pp 45-52., October 2007</w:t>
      </w:r>
    </w:p>
    <w:p w:rsidR="00C872EC" w:rsidRDefault="00C872EC" w:rsidP="00C872EC">
      <w:pPr>
        <w:pStyle w:val="gmail-msolistparagraph"/>
        <w:spacing w:before="0" w:beforeAutospacing="0" w:after="200" w:afterAutospacing="0" w:line="202" w:lineRule="atLeast"/>
        <w:ind w:left="360"/>
        <w:rPr>
          <w:rFonts w:ascii="Calibri" w:hAnsi="Calibri" w:cs="Calibri"/>
          <w:color w:val="222222"/>
          <w:sz w:val="22"/>
          <w:szCs w:val="22"/>
        </w:rPr>
      </w:pPr>
      <w:proofErr w:type="gramStart"/>
      <w:r>
        <w:rPr>
          <w:color w:val="222222"/>
          <w:lang w:val="en-US"/>
        </w:rPr>
        <w:t>Carina Harkin, </w:t>
      </w:r>
      <w:r>
        <w:rPr>
          <w:i/>
          <w:iCs/>
          <w:color w:val="222222"/>
          <w:lang w:val="en-US"/>
        </w:rPr>
        <w:t>Effect of Homeopathic Calcium on Bone Density</w:t>
      </w:r>
      <w:r>
        <w:rPr>
          <w:color w:val="222222"/>
          <w:lang w:val="en-US"/>
        </w:rPr>
        <w:t>, </w:t>
      </w:r>
      <w:r>
        <w:rPr>
          <w:color w:val="222222"/>
          <w:u w:val="single"/>
          <w:lang w:val="en-US"/>
        </w:rPr>
        <w:t>Homoeopathic Links</w:t>
      </w:r>
      <w:r>
        <w:rPr>
          <w:color w:val="222222"/>
          <w:lang w:val="en-US"/>
        </w:rPr>
        <w:t>, Vol. 21: 1–6 6.</w:t>
      </w:r>
      <w:proofErr w:type="gramEnd"/>
      <w:r>
        <w:rPr>
          <w:color w:val="222222"/>
          <w:lang w:val="en-US"/>
        </w:rPr>
        <w:t xml:space="preserve"> Spring 200</w:t>
      </w:r>
    </w:p>
    <w:p w:rsidR="00C872EC" w:rsidRDefault="00C872EC" w:rsidP="00C872EC">
      <w:pPr>
        <w:ind w:left="360"/>
        <w:rPr>
          <w:color w:val="222222"/>
        </w:rPr>
      </w:pPr>
      <w:r>
        <w:rPr>
          <w:b/>
          <w:bCs/>
          <w:color w:val="222222"/>
          <w:lang w:val="en-NZ"/>
        </w:rPr>
        <w:t>Presenting author details </w:t>
      </w:r>
      <w:r>
        <w:rPr>
          <w:b/>
          <w:bCs/>
          <w:color w:val="222222"/>
          <w:lang w:val="en-NZ"/>
        </w:rPr>
        <w:br/>
      </w:r>
      <w:r>
        <w:rPr>
          <w:color w:val="222222"/>
          <w:lang w:val="en-NZ"/>
        </w:rPr>
        <w:t xml:space="preserve">Full name: Carina Harkin </w:t>
      </w:r>
      <w:proofErr w:type="spellStart"/>
      <w:r>
        <w:rPr>
          <w:color w:val="222222"/>
          <w:lang w:val="en-NZ"/>
        </w:rPr>
        <w:t>BHSc.Nat.BHSc.Hom.BHSc.Acu</w:t>
      </w:r>
      <w:proofErr w:type="spellEnd"/>
      <w:r>
        <w:rPr>
          <w:color w:val="222222"/>
          <w:lang w:val="en-NZ"/>
        </w:rPr>
        <w:t xml:space="preserve">. </w:t>
      </w:r>
      <w:proofErr w:type="spellStart"/>
      <w:r>
        <w:rPr>
          <w:color w:val="222222"/>
          <w:lang w:val="en-NZ"/>
        </w:rPr>
        <w:t>Cert.IV</w:t>
      </w:r>
      <w:proofErr w:type="spellEnd"/>
      <w:r>
        <w:rPr>
          <w:color w:val="222222"/>
          <w:lang w:val="en-NZ"/>
        </w:rPr>
        <w:t xml:space="preserve"> TAE. MPH (pending</w:t>
      </w:r>
      <w:proofErr w:type="gramStart"/>
      <w:r>
        <w:rPr>
          <w:color w:val="222222"/>
          <w:lang w:val="en-NZ"/>
        </w:rPr>
        <w:t>)</w:t>
      </w:r>
      <w:proofErr w:type="gramEnd"/>
      <w:r>
        <w:rPr>
          <w:color w:val="222222"/>
          <w:lang w:val="en-NZ"/>
        </w:rPr>
        <w:br/>
        <w:t>Contact number:00353 (0) 834735746 carahealth@gmail.com</w:t>
      </w:r>
      <w:r>
        <w:rPr>
          <w:color w:val="222222"/>
          <w:lang w:val="en-NZ"/>
        </w:rPr>
        <w:br/>
        <w:t xml:space="preserve">Linked In </w:t>
      </w:r>
      <w:proofErr w:type="spellStart"/>
      <w:r>
        <w:rPr>
          <w:color w:val="222222"/>
          <w:lang w:val="en-NZ"/>
        </w:rPr>
        <w:t>account:Carina</w:t>
      </w:r>
      <w:proofErr w:type="spellEnd"/>
      <w:r>
        <w:rPr>
          <w:color w:val="222222"/>
          <w:lang w:val="en-NZ"/>
        </w:rPr>
        <w:t xml:space="preserve"> Harkin</w:t>
      </w:r>
    </w:p>
    <w:p w:rsidR="00C872EC" w:rsidRDefault="00C872EC" w:rsidP="00C872EC">
      <w:pPr>
        <w:ind w:left="360"/>
        <w:rPr>
          <w:color w:val="222222"/>
        </w:rPr>
      </w:pPr>
      <w:r>
        <w:rPr>
          <w:color w:val="222222"/>
          <w:lang w:val="en-NZ"/>
        </w:rPr>
        <w:t>Category: (Oral presentation/Power point)</w:t>
      </w:r>
      <w:r>
        <w:rPr>
          <w:color w:val="222222"/>
        </w:rPr>
        <w:t> </w:t>
      </w:r>
    </w:p>
    <w:p w:rsidR="00626619" w:rsidRPr="00C872EC" w:rsidRDefault="00626619" w:rsidP="00C872EC">
      <w:pPr>
        <w:ind w:left="360"/>
        <w:rPr>
          <w:color w:val="222222"/>
        </w:rPr>
        <w:sectPr w:rsidR="00626619" w:rsidRPr="00C872EC">
          <w:pgSz w:w="12240" w:h="15840"/>
          <w:pgMar w:top="1019" w:right="850" w:bottom="1134" w:left="993" w:header="720" w:footer="720" w:gutter="0"/>
          <w:cols w:space="720"/>
        </w:sectPr>
      </w:pPr>
      <w:r>
        <w:rPr>
          <w:color w:val="222222"/>
        </w:rPr>
        <w:t>Duration: ½ hour</w:t>
      </w:r>
    </w:p>
    <w:p w:rsidR="00C67B9B" w:rsidRDefault="00C67B9B" w:rsidP="00C872EC"/>
    <w:sectPr w:rsidR="00C67B9B" w:rsidSect="00C67B9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72EC"/>
    <w:rsid w:val="00156F3A"/>
    <w:rsid w:val="00460A2B"/>
    <w:rsid w:val="00503029"/>
    <w:rsid w:val="00626619"/>
    <w:rsid w:val="009A1CB4"/>
    <w:rsid w:val="00C67B9B"/>
    <w:rsid w:val="00C872EC"/>
    <w:rsid w:val="00E24C5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2E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ol-para-with-font">
    <w:name w:val="gmail-mol-para-with-font"/>
    <w:basedOn w:val="Normal"/>
    <w:rsid w:val="00C872EC"/>
    <w:pPr>
      <w:spacing w:before="100" w:beforeAutospacing="1" w:after="100" w:afterAutospacing="1"/>
    </w:pPr>
    <w:rPr>
      <w:lang w:val="en-GB" w:eastAsia="en-GB"/>
    </w:rPr>
  </w:style>
  <w:style w:type="paragraph" w:customStyle="1" w:styleId="gmail-msolistparagraph">
    <w:name w:val="gmail-msolistparagraph"/>
    <w:basedOn w:val="Normal"/>
    <w:rsid w:val="00C872EC"/>
    <w:pPr>
      <w:spacing w:before="100" w:beforeAutospacing="1" w:after="100" w:afterAutospacing="1"/>
    </w:pPr>
    <w:rPr>
      <w:lang w:val="en-GB" w:eastAsia="en-GB"/>
    </w:rPr>
  </w:style>
  <w:style w:type="character" w:styleId="Emphasis">
    <w:name w:val="Emphasis"/>
    <w:basedOn w:val="DefaultParagraphFont"/>
    <w:uiPriority w:val="20"/>
    <w:qFormat/>
    <w:rsid w:val="00C872EC"/>
    <w:rPr>
      <w:i/>
      <w:iCs/>
    </w:rPr>
  </w:style>
  <w:style w:type="paragraph" w:styleId="BalloonText">
    <w:name w:val="Balloon Text"/>
    <w:basedOn w:val="Normal"/>
    <w:link w:val="BalloonTextChar"/>
    <w:uiPriority w:val="99"/>
    <w:semiHidden/>
    <w:unhideWhenUsed/>
    <w:rsid w:val="00C872EC"/>
    <w:rPr>
      <w:rFonts w:ascii="Tahoma" w:hAnsi="Tahoma" w:cs="Tahoma"/>
      <w:sz w:val="16"/>
      <w:szCs w:val="16"/>
    </w:rPr>
  </w:style>
  <w:style w:type="character" w:customStyle="1" w:styleId="BalloonTextChar">
    <w:name w:val="Balloon Text Char"/>
    <w:basedOn w:val="DefaultParagraphFont"/>
    <w:link w:val="BalloonText"/>
    <w:uiPriority w:val="99"/>
    <w:semiHidden/>
    <w:rsid w:val="00C872EC"/>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divs>
    <w:div w:id="9386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xcx</dc:creator>
  <cp:lastModifiedBy>xcx</cp:lastModifiedBy>
  <cp:revision>5</cp:revision>
  <dcterms:created xsi:type="dcterms:W3CDTF">2019-02-18T21:13:00Z</dcterms:created>
  <dcterms:modified xsi:type="dcterms:W3CDTF">2019-02-26T11:55:00Z</dcterms:modified>
</cp:coreProperties>
</file>