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8E5" w:rsidRPr="006058E5" w:rsidRDefault="006058E5" w:rsidP="006058E5">
      <w:pPr>
        <w:pStyle w:val="Heading1"/>
        <w:spacing w:line="360" w:lineRule="auto"/>
        <w:jc w:val="both"/>
        <w:rPr>
          <w:rFonts w:ascii="Times New Roman" w:hAnsi="Times New Roman" w:cs="Times New Roman"/>
          <w:color w:val="548DD4" w:themeColor="text2" w:themeTint="99"/>
          <w:sz w:val="32"/>
          <w:szCs w:val="32"/>
          <w:lang w:bidi="bn-BD"/>
        </w:rPr>
      </w:pPr>
      <w:r w:rsidRPr="006058E5">
        <w:rPr>
          <w:rFonts w:ascii="Times New Roman" w:hAnsi="Times New Roman" w:cs="Times New Roman"/>
          <w:color w:val="548DD4" w:themeColor="text2" w:themeTint="99"/>
          <w:sz w:val="32"/>
          <w:szCs w:val="32"/>
          <w:cs/>
          <w:lang w:bidi="bn-BD"/>
        </w:rPr>
        <w:t>Postoperative Analgesic Use Pattern in a Tertiary Care Hospital in Bangladesh</w:t>
      </w:r>
    </w:p>
    <w:p w:rsidR="00AE3E37" w:rsidRPr="009007EB" w:rsidRDefault="009007EB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  <w:r w:rsidRPr="009007EB">
        <w:rPr>
          <w:rStyle w:val="Strong"/>
          <w:rFonts w:ascii="Times New Roman" w:hAnsi="Times New Roman" w:cs="Times New Roman"/>
          <w:sz w:val="24"/>
          <w:szCs w:val="24"/>
        </w:rPr>
        <w:t>Baqui QBOF</w:t>
      </w:r>
      <w:hyperlink r:id="rId7" w:anchor="ins1" w:history="1">
        <w:r w:rsidRPr="009007EB">
          <w:rPr>
            <w:rStyle w:val="Hyperlink"/>
            <w:rFonts w:ascii="Times New Roman" w:hAnsi="Times New Roman" w:cs="Times New Roman"/>
            <w:sz w:val="24"/>
            <w:szCs w:val="24"/>
            <w:vertAlign w:val="superscript"/>
          </w:rPr>
          <w:t>1</w:t>
        </w:r>
      </w:hyperlink>
      <w:r w:rsidRPr="009007EB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9007EB">
        <w:rPr>
          <w:rStyle w:val="Strong"/>
          <w:rFonts w:ascii="Times New Roman" w:hAnsi="Times New Roman" w:cs="Times New Roman"/>
          <w:sz w:val="24"/>
          <w:szCs w:val="24"/>
        </w:rPr>
        <w:t>, Johora</w:t>
      </w:r>
      <w:r w:rsidR="006058E5">
        <w:rPr>
          <w:rStyle w:val="Strong"/>
          <w:rFonts w:ascii="Times New Roman" w:hAnsi="Times New Roman" w:cstheme="minorBidi" w:hint="cs"/>
          <w:sz w:val="24"/>
          <w:szCs w:val="30"/>
          <w:cs/>
          <w:lang w:bidi="bn-BD"/>
        </w:rPr>
        <w:t xml:space="preserve"> </w:t>
      </w:r>
      <w:r w:rsidRPr="009007EB">
        <w:rPr>
          <w:rStyle w:val="Strong"/>
          <w:rFonts w:ascii="Times New Roman" w:hAnsi="Times New Roman" w:cs="Times New Roman"/>
          <w:sz w:val="24"/>
          <w:szCs w:val="24"/>
        </w:rPr>
        <w:t>F</w:t>
      </w:r>
      <w:hyperlink r:id="rId8" w:anchor="ins2" w:history="1">
        <w:r w:rsidRPr="009007EB">
          <w:rPr>
            <w:rStyle w:val="Hyperlink"/>
            <w:rFonts w:ascii="Times New Roman" w:hAnsi="Times New Roman" w:cs="Times New Roman"/>
            <w:sz w:val="24"/>
            <w:szCs w:val="24"/>
            <w:vertAlign w:val="superscript"/>
          </w:rPr>
          <w:t>2</w:t>
        </w:r>
      </w:hyperlink>
      <w:r w:rsidRPr="009007EB">
        <w:rPr>
          <w:rFonts w:ascii="Times New Roman" w:hAnsi="Times New Roman" w:cs="Times New Roman"/>
          <w:sz w:val="24"/>
          <w:szCs w:val="24"/>
        </w:rPr>
        <w:t>,</w:t>
      </w:r>
      <w:r w:rsidRPr="009007EB">
        <w:rPr>
          <w:rStyle w:val="Strong"/>
          <w:rFonts w:ascii="Times New Roman" w:hAnsi="Times New Roman" w:cs="Times New Roman"/>
          <w:sz w:val="24"/>
          <w:szCs w:val="24"/>
        </w:rPr>
        <w:t>A</w:t>
      </w:r>
      <w:r w:rsidRPr="009007EB">
        <w:rPr>
          <w:rStyle w:val="Strong"/>
          <w:rFonts w:ascii="Times New Roman" w:hAnsi="Times New Roman" w:cs="Times New Roman"/>
          <w:sz w:val="24"/>
          <w:szCs w:val="24"/>
          <w:cs/>
          <w:lang w:bidi="bn-BD"/>
        </w:rPr>
        <w:t>li</w:t>
      </w:r>
      <w:r w:rsidR="006058E5">
        <w:rPr>
          <w:rStyle w:val="Strong"/>
          <w:rFonts w:ascii="Times New Roman" w:hAnsi="Times New Roman" w:cstheme="minorBidi" w:hint="cs"/>
          <w:sz w:val="24"/>
          <w:szCs w:val="24"/>
          <w:cs/>
          <w:lang w:bidi="bn-BD"/>
        </w:rPr>
        <w:t xml:space="preserve"> </w:t>
      </w:r>
      <w:r w:rsidRPr="009007EB">
        <w:rPr>
          <w:rStyle w:val="Strong"/>
          <w:rFonts w:ascii="Times New Roman" w:hAnsi="Times New Roman" w:cs="Times New Roman"/>
          <w:sz w:val="24"/>
          <w:szCs w:val="24"/>
          <w:cs/>
          <w:lang w:bidi="bn-BD"/>
        </w:rPr>
        <w:t>M</w:t>
      </w:r>
      <w:r w:rsidRPr="009007EB">
        <w:rPr>
          <w:rFonts w:ascii="Times New Roman" w:hAnsi="Times New Roman" w:cs="Times New Roman"/>
          <w:b/>
          <w:color w:val="4F81BD" w:themeColor="accent1"/>
          <w:sz w:val="24"/>
          <w:szCs w:val="24"/>
          <w:vertAlign w:val="superscript"/>
        </w:rPr>
        <w:t>3</w:t>
      </w:r>
      <w:r w:rsidRPr="009007EB">
        <w:rPr>
          <w:rFonts w:ascii="Times New Roman" w:hAnsi="Times New Roman" w:cs="Times New Roman"/>
          <w:b/>
          <w:sz w:val="24"/>
          <w:szCs w:val="24"/>
        </w:rPr>
        <w:t>, Begum HA</w:t>
      </w:r>
      <w:r w:rsidRPr="009007EB">
        <w:rPr>
          <w:rFonts w:ascii="Times New Roman" w:hAnsi="Times New Roman" w:cs="Times New Roman"/>
          <w:b/>
          <w:color w:val="4F81BD" w:themeColor="accent1"/>
          <w:sz w:val="24"/>
          <w:szCs w:val="24"/>
          <w:vertAlign w:val="superscript"/>
        </w:rPr>
        <w:t>4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062D59" w:rsidRPr="009007EB" w:rsidRDefault="00A9710C" w:rsidP="009007EB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</w:p>
    <w:p w:rsidR="009007EB" w:rsidRPr="006A4053" w:rsidRDefault="009007EB" w:rsidP="006A4053">
      <w:pPr>
        <w:pStyle w:val="NormalWeb"/>
        <w:spacing w:line="276" w:lineRule="auto"/>
        <w:jc w:val="both"/>
        <w:rPr>
          <w:rFonts w:cstheme="minorBidi" w:hint="cs"/>
          <w:sz w:val="18"/>
          <w:szCs w:val="18"/>
          <w:cs/>
          <w:lang w:bidi="bn-BD"/>
        </w:rPr>
      </w:pPr>
      <w:r w:rsidRPr="004E567A">
        <w:rPr>
          <w:b/>
          <w:bCs/>
          <w:sz w:val="18"/>
          <w:szCs w:val="18"/>
          <w:cs/>
          <w:lang w:bidi="bn-BD"/>
        </w:rPr>
        <w:t>Statement of the problem:</w:t>
      </w:r>
      <w:r w:rsidRPr="004E567A">
        <w:rPr>
          <w:sz w:val="18"/>
          <w:szCs w:val="18"/>
          <w:cs/>
          <w:lang w:bidi="bn-BD"/>
        </w:rPr>
        <w:t>.</w:t>
      </w:r>
      <w:r w:rsidR="006A4053" w:rsidRPr="006A4053">
        <w:t xml:space="preserve"> </w:t>
      </w:r>
      <w:r w:rsidR="006A4053" w:rsidRPr="006A4053">
        <w:rPr>
          <w:sz w:val="18"/>
          <w:szCs w:val="18"/>
        </w:rPr>
        <w:t>Postoperative pain is the most common problem following surgery whether patient undergoes general anesthesia or subarachnoid block.</w:t>
      </w:r>
      <w:r w:rsidR="006A4053" w:rsidRPr="006A4053">
        <w:rPr>
          <w:rFonts w:cstheme="minorBidi" w:hint="cs"/>
          <w:sz w:val="18"/>
          <w:szCs w:val="18"/>
          <w:cs/>
          <w:lang w:bidi="bn-BD"/>
        </w:rPr>
        <w:t xml:space="preserve"> </w:t>
      </w:r>
      <w:r w:rsidR="006A4053" w:rsidRPr="006A4053">
        <w:rPr>
          <w:sz w:val="18"/>
          <w:szCs w:val="18"/>
        </w:rPr>
        <w:t xml:space="preserve">Poorly controlled postoperative pain is as associated with several complications like pneumonia, myocardial ischemia, paralytic ileus, thromoboembolism as well as an increased chance of development of chronic pain. </w:t>
      </w:r>
      <w:r w:rsidR="006A4053" w:rsidRPr="006A4053">
        <w:rPr>
          <w:sz w:val="18"/>
          <w:szCs w:val="18"/>
          <w:cs/>
          <w:lang w:bidi="bn-BD"/>
        </w:rPr>
        <w:t xml:space="preserve">So </w:t>
      </w:r>
      <w:r w:rsidR="006A4053" w:rsidRPr="006A4053">
        <w:rPr>
          <w:sz w:val="18"/>
          <w:szCs w:val="18"/>
        </w:rPr>
        <w:t xml:space="preserve">effective postoperative </w:t>
      </w:r>
      <w:r w:rsidR="006A4053" w:rsidRPr="006A4053">
        <w:rPr>
          <w:sz w:val="18"/>
          <w:szCs w:val="18"/>
          <w:cs/>
          <w:lang w:bidi="bn-BD"/>
        </w:rPr>
        <w:t>analgesia</w:t>
      </w:r>
      <w:r w:rsidR="006A4053" w:rsidRPr="006A4053">
        <w:rPr>
          <w:sz w:val="18"/>
          <w:szCs w:val="18"/>
        </w:rPr>
        <w:t xml:space="preserve"> is </w:t>
      </w:r>
      <w:r w:rsidR="006A4053" w:rsidRPr="006A4053">
        <w:rPr>
          <w:sz w:val="18"/>
          <w:szCs w:val="18"/>
          <w:cs/>
          <w:lang w:bidi="bn-BD"/>
        </w:rPr>
        <w:t xml:space="preserve">a crucial component </w:t>
      </w:r>
      <w:r w:rsidR="006A4053" w:rsidRPr="006A4053">
        <w:rPr>
          <w:sz w:val="18"/>
          <w:szCs w:val="18"/>
        </w:rPr>
        <w:t xml:space="preserve">of surgical </w:t>
      </w:r>
      <w:r w:rsidR="006A4053" w:rsidRPr="006A4053">
        <w:rPr>
          <w:sz w:val="18"/>
          <w:szCs w:val="18"/>
          <w:cs/>
          <w:lang w:bidi="bn-BD"/>
        </w:rPr>
        <w:t>care</w:t>
      </w:r>
      <w:r w:rsidR="006A4053" w:rsidRPr="006A4053">
        <w:rPr>
          <w:sz w:val="18"/>
          <w:szCs w:val="18"/>
        </w:rPr>
        <w:t xml:space="preserve">. </w:t>
      </w:r>
      <w:r w:rsidR="006A4053" w:rsidRPr="006A4053">
        <w:rPr>
          <w:sz w:val="18"/>
          <w:szCs w:val="18"/>
          <w:cs/>
          <w:lang w:bidi="bn-BD"/>
        </w:rPr>
        <w:t xml:space="preserve">Different </w:t>
      </w:r>
      <w:r w:rsidR="006A4053" w:rsidRPr="006A4053">
        <w:rPr>
          <w:sz w:val="18"/>
          <w:szCs w:val="18"/>
        </w:rPr>
        <w:t xml:space="preserve"> pharmacologica</w:t>
      </w:r>
      <w:r w:rsidR="006A4053" w:rsidRPr="006A4053">
        <w:rPr>
          <w:sz w:val="18"/>
          <w:szCs w:val="18"/>
          <w:cs/>
          <w:lang w:bidi="bn-BD"/>
        </w:rPr>
        <w:t>l</w:t>
      </w:r>
      <w:r w:rsidR="006A4053" w:rsidRPr="006A4053">
        <w:rPr>
          <w:sz w:val="18"/>
          <w:szCs w:val="18"/>
        </w:rPr>
        <w:t xml:space="preserve"> modalities</w:t>
      </w:r>
      <w:r w:rsidR="006A4053" w:rsidRPr="006A4053">
        <w:rPr>
          <w:sz w:val="18"/>
          <w:szCs w:val="18"/>
          <w:cs/>
          <w:lang w:bidi="bn-BD"/>
        </w:rPr>
        <w:t xml:space="preserve"> are</w:t>
      </w:r>
      <w:r w:rsidR="006A4053" w:rsidRPr="006A4053">
        <w:rPr>
          <w:sz w:val="18"/>
          <w:szCs w:val="18"/>
        </w:rPr>
        <w:t xml:space="preserve"> available, and continue to evolve for reducing and managing postoperative pain</w:t>
      </w:r>
      <w:r w:rsidR="006A4053" w:rsidRPr="006A4053">
        <w:rPr>
          <w:sz w:val="18"/>
          <w:szCs w:val="18"/>
          <w:cs/>
          <w:lang w:bidi="bn-BD"/>
        </w:rPr>
        <w:t>.</w:t>
      </w:r>
      <w:r w:rsidR="006A4053" w:rsidRPr="006A4053">
        <w:rPr>
          <w:sz w:val="18"/>
          <w:szCs w:val="18"/>
        </w:rPr>
        <w:t xml:space="preserve"> </w:t>
      </w:r>
    </w:p>
    <w:p w:rsidR="009007EB" w:rsidRPr="0031032E" w:rsidRDefault="009007EB" w:rsidP="0031032E">
      <w:pPr>
        <w:pStyle w:val="NormalWeb"/>
        <w:spacing w:line="276" w:lineRule="auto"/>
        <w:jc w:val="both"/>
        <w:rPr>
          <w:rFonts w:cstheme="minorBidi" w:hint="cs"/>
          <w:sz w:val="18"/>
          <w:szCs w:val="18"/>
          <w:cs/>
          <w:lang w:bidi="bn-BD"/>
        </w:rPr>
      </w:pPr>
      <w:r w:rsidRPr="004E567A">
        <w:rPr>
          <w:b/>
          <w:bCs/>
          <w:sz w:val="18"/>
          <w:szCs w:val="18"/>
          <w:cs/>
          <w:lang w:bidi="bn-BD"/>
        </w:rPr>
        <w:t>Purpose of this study:</w:t>
      </w:r>
      <w:r w:rsidR="0031032E" w:rsidRPr="0031032E">
        <w:rPr>
          <w:cs/>
          <w:lang w:bidi="bn-BD"/>
        </w:rPr>
        <w:t xml:space="preserve"> </w:t>
      </w:r>
      <w:r w:rsidR="0031032E" w:rsidRPr="0031032E">
        <w:rPr>
          <w:sz w:val="18"/>
          <w:szCs w:val="18"/>
          <w:cs/>
          <w:lang w:bidi="bn-BD"/>
        </w:rPr>
        <w:t>T</w:t>
      </w:r>
      <w:r w:rsidR="0031032E" w:rsidRPr="0031032E">
        <w:rPr>
          <w:sz w:val="18"/>
          <w:szCs w:val="18"/>
        </w:rPr>
        <w:t xml:space="preserve">he </w:t>
      </w:r>
      <w:r w:rsidR="0031032E" w:rsidRPr="0031032E">
        <w:rPr>
          <w:sz w:val="18"/>
          <w:szCs w:val="18"/>
          <w:cs/>
          <w:lang w:bidi="bn-BD"/>
        </w:rPr>
        <w:t xml:space="preserve">objective of the </w:t>
      </w:r>
      <w:r w:rsidR="0031032E" w:rsidRPr="0031032E">
        <w:rPr>
          <w:sz w:val="18"/>
          <w:szCs w:val="18"/>
        </w:rPr>
        <w:t>present study was to find out the</w:t>
      </w:r>
      <w:r w:rsidR="0031032E" w:rsidRPr="0031032E">
        <w:rPr>
          <w:sz w:val="18"/>
          <w:szCs w:val="18"/>
          <w:cs/>
          <w:lang w:bidi="bn-BD"/>
        </w:rPr>
        <w:t xml:space="preserve"> </w:t>
      </w:r>
      <w:r w:rsidR="0031032E" w:rsidRPr="0031032E">
        <w:rPr>
          <w:sz w:val="18"/>
          <w:szCs w:val="18"/>
        </w:rPr>
        <w:t>p</w:t>
      </w:r>
      <w:r w:rsidR="0031032E" w:rsidRPr="0031032E">
        <w:rPr>
          <w:sz w:val="18"/>
          <w:szCs w:val="18"/>
          <w:cs/>
          <w:lang w:bidi="bn-BD"/>
        </w:rPr>
        <w:t>attern of postoperative analgesic use in first postoperative day in different surgeries in a tertiary care hospital of private setting in Bangladesh.</w:t>
      </w:r>
      <w:r w:rsidR="0031032E" w:rsidRPr="0031032E">
        <w:rPr>
          <w:sz w:val="18"/>
          <w:szCs w:val="18"/>
        </w:rPr>
        <w:t xml:space="preserve"> </w:t>
      </w:r>
    </w:p>
    <w:p w:rsidR="0031032E" w:rsidRPr="0031032E" w:rsidRDefault="009007EB" w:rsidP="009007EB">
      <w:pPr>
        <w:pStyle w:val="NormalWeb"/>
        <w:jc w:val="both"/>
        <w:rPr>
          <w:rFonts w:cstheme="minorBidi" w:hint="cs"/>
          <w:sz w:val="18"/>
          <w:szCs w:val="18"/>
          <w:lang w:bidi="bn-BD"/>
        </w:rPr>
      </w:pPr>
      <w:r w:rsidRPr="004E567A">
        <w:rPr>
          <w:b/>
          <w:bCs/>
          <w:sz w:val="18"/>
          <w:szCs w:val="18"/>
          <w:cs/>
          <w:lang w:bidi="bn-BD"/>
        </w:rPr>
        <w:t>Methodology &amp; Theoretical Orientation:</w:t>
      </w:r>
      <w:r w:rsidRPr="004E567A">
        <w:rPr>
          <w:sz w:val="18"/>
          <w:szCs w:val="18"/>
          <w:cs/>
          <w:lang w:bidi="bn-BD"/>
        </w:rPr>
        <w:t xml:space="preserve"> </w:t>
      </w:r>
      <w:r w:rsidR="0031032E" w:rsidRPr="0031032E">
        <w:rPr>
          <w:sz w:val="18"/>
          <w:szCs w:val="18"/>
          <w:cs/>
          <w:lang w:bidi="bn-BD"/>
        </w:rPr>
        <w:t>A</w:t>
      </w:r>
      <w:r w:rsidR="0031032E" w:rsidRPr="0031032E">
        <w:rPr>
          <w:sz w:val="18"/>
          <w:szCs w:val="18"/>
        </w:rPr>
        <w:t xml:space="preserve"> </w:t>
      </w:r>
      <w:r w:rsidR="0031032E" w:rsidRPr="0031032E">
        <w:rPr>
          <w:sz w:val="18"/>
          <w:szCs w:val="18"/>
          <w:cs/>
          <w:lang w:bidi="bn-BD"/>
        </w:rPr>
        <w:t>prospective observational study was conducted among 600 patients undergoing different surgeries in a tertiary care hospital of private setting in Dhaka, Bangladesh from November 2017 to April 2018.</w:t>
      </w:r>
      <w:r w:rsidR="0031032E" w:rsidRPr="0031032E">
        <w:rPr>
          <w:sz w:val="18"/>
          <w:szCs w:val="18"/>
        </w:rPr>
        <w:t xml:space="preserve"> The </w:t>
      </w:r>
      <w:r w:rsidR="0031032E" w:rsidRPr="0031032E">
        <w:rPr>
          <w:sz w:val="18"/>
          <w:szCs w:val="18"/>
          <w:cs/>
          <w:lang w:bidi="bn-BD"/>
        </w:rPr>
        <w:t>demographic data, types of surgery, types of therapy, choice of analgesic were collected.</w:t>
      </w:r>
    </w:p>
    <w:p w:rsidR="009007EB" w:rsidRPr="00E52583" w:rsidRDefault="009007EB" w:rsidP="00E52583">
      <w:pPr>
        <w:pStyle w:val="NormalWeb"/>
        <w:spacing w:line="276" w:lineRule="auto"/>
        <w:jc w:val="both"/>
        <w:rPr>
          <w:rFonts w:cstheme="minorBidi" w:hint="cs"/>
          <w:sz w:val="18"/>
          <w:szCs w:val="18"/>
          <w:cs/>
          <w:lang w:bidi="bn-BD"/>
        </w:rPr>
      </w:pPr>
      <w:r w:rsidRPr="004E567A">
        <w:rPr>
          <w:b/>
          <w:bCs/>
          <w:sz w:val="18"/>
          <w:szCs w:val="18"/>
          <w:cs/>
          <w:lang w:bidi="bn-BD"/>
        </w:rPr>
        <w:t>Findings:</w:t>
      </w:r>
      <w:r w:rsidRPr="004E567A">
        <w:rPr>
          <w:sz w:val="18"/>
          <w:szCs w:val="18"/>
        </w:rPr>
        <w:t xml:space="preserve"> </w:t>
      </w:r>
      <w:r w:rsidR="00E52583" w:rsidRPr="00E52583">
        <w:rPr>
          <w:sz w:val="18"/>
          <w:szCs w:val="18"/>
        </w:rPr>
        <w:t xml:space="preserve">Out of </w:t>
      </w:r>
      <w:r w:rsidR="00E52583" w:rsidRPr="00E52583">
        <w:rPr>
          <w:sz w:val="18"/>
          <w:szCs w:val="18"/>
          <w:cs/>
          <w:lang w:bidi="bn-BD"/>
        </w:rPr>
        <w:t>600</w:t>
      </w:r>
      <w:r w:rsidR="00E52583" w:rsidRPr="00E52583">
        <w:rPr>
          <w:sz w:val="18"/>
          <w:szCs w:val="18"/>
        </w:rPr>
        <w:t xml:space="preserve">, </w:t>
      </w:r>
      <w:r w:rsidR="00E52583" w:rsidRPr="00E52583">
        <w:rPr>
          <w:sz w:val="18"/>
          <w:szCs w:val="18"/>
          <w:cs/>
          <w:lang w:bidi="bn-BD"/>
        </w:rPr>
        <w:t>306 patients (51%) were male and 294 (49%) were female. Highest bulk of patients were from department of general surgery (26%), followed by department of Urology (24.5%) and department of Obstetrics &amp; Gynecology (22.5%). Majority of patients were age group 30-39 years (26%), followed by 50-59 years (23.5%) and 40-49 years (21.5%). 248</w:t>
      </w:r>
      <w:r w:rsidR="00E52583" w:rsidRPr="00E52583">
        <w:rPr>
          <w:sz w:val="18"/>
          <w:szCs w:val="18"/>
        </w:rPr>
        <w:t xml:space="preserve"> </w:t>
      </w:r>
      <w:r w:rsidR="00E52583" w:rsidRPr="00E52583">
        <w:rPr>
          <w:sz w:val="18"/>
          <w:szCs w:val="18"/>
          <w:cs/>
          <w:lang w:bidi="bn-BD"/>
        </w:rPr>
        <w:t>patient</w:t>
      </w:r>
      <w:r w:rsidR="00E52583" w:rsidRPr="00E52583">
        <w:rPr>
          <w:sz w:val="18"/>
          <w:szCs w:val="18"/>
        </w:rPr>
        <w:t>s (</w:t>
      </w:r>
      <w:r w:rsidR="00E52583" w:rsidRPr="00E52583">
        <w:rPr>
          <w:sz w:val="18"/>
          <w:szCs w:val="18"/>
          <w:cs/>
          <w:lang w:bidi="bn-BD"/>
        </w:rPr>
        <w:t>41</w:t>
      </w:r>
      <w:r w:rsidR="00E52583" w:rsidRPr="00E52583">
        <w:rPr>
          <w:sz w:val="18"/>
          <w:szCs w:val="18"/>
        </w:rPr>
        <w:t>.</w:t>
      </w:r>
      <w:r w:rsidR="00E52583" w:rsidRPr="00E52583">
        <w:rPr>
          <w:sz w:val="18"/>
          <w:szCs w:val="18"/>
          <w:cs/>
          <w:lang w:bidi="bn-BD"/>
        </w:rPr>
        <w:t>33</w:t>
      </w:r>
      <w:r w:rsidR="00E52583" w:rsidRPr="00E52583">
        <w:rPr>
          <w:sz w:val="18"/>
          <w:szCs w:val="18"/>
        </w:rPr>
        <w:t xml:space="preserve">%) had </w:t>
      </w:r>
      <w:r w:rsidR="00E52583" w:rsidRPr="00E52583">
        <w:rPr>
          <w:sz w:val="18"/>
          <w:szCs w:val="18"/>
          <w:cs/>
          <w:lang w:bidi="bn-BD"/>
        </w:rPr>
        <w:t>received monotherapy of analgesic drug, whether 276 patients (46%), 57 patients (9.5%) and 19 patients (3.2%) received two drugs combination, three drugs combination, four drugs combination respectively</w:t>
      </w:r>
      <w:r w:rsidR="00E52583" w:rsidRPr="00E52583">
        <w:rPr>
          <w:sz w:val="18"/>
          <w:szCs w:val="18"/>
        </w:rPr>
        <w:t xml:space="preserve">. </w:t>
      </w:r>
      <w:r w:rsidR="00E52583" w:rsidRPr="00E52583">
        <w:rPr>
          <w:sz w:val="18"/>
          <w:szCs w:val="18"/>
          <w:cs/>
          <w:lang w:bidi="bn-BD"/>
        </w:rPr>
        <w:t xml:space="preserve">Opioid analgesic, Pethidine, </w:t>
      </w:r>
      <w:r w:rsidR="00E52583" w:rsidRPr="00E52583">
        <w:rPr>
          <w:sz w:val="18"/>
          <w:szCs w:val="18"/>
        </w:rPr>
        <w:t xml:space="preserve">was the most commonly </w:t>
      </w:r>
      <w:r w:rsidR="00E52583" w:rsidRPr="00E52583">
        <w:rPr>
          <w:sz w:val="18"/>
          <w:szCs w:val="18"/>
          <w:cs/>
          <w:lang w:bidi="bn-BD"/>
        </w:rPr>
        <w:t>utilized analgesic as monotherapy</w:t>
      </w:r>
      <w:r w:rsidR="00E52583" w:rsidRPr="00E52583">
        <w:rPr>
          <w:sz w:val="18"/>
          <w:szCs w:val="18"/>
        </w:rPr>
        <w:t xml:space="preserve"> (</w:t>
      </w:r>
      <w:r w:rsidR="00E52583" w:rsidRPr="00E52583">
        <w:rPr>
          <w:sz w:val="18"/>
          <w:szCs w:val="18"/>
          <w:cs/>
          <w:lang w:bidi="bn-BD"/>
        </w:rPr>
        <w:t>69.3</w:t>
      </w:r>
      <w:r w:rsidR="00E52583" w:rsidRPr="00E52583">
        <w:rPr>
          <w:sz w:val="18"/>
          <w:szCs w:val="18"/>
        </w:rPr>
        <w:t>%)</w:t>
      </w:r>
      <w:r w:rsidR="00E52583" w:rsidRPr="00E52583">
        <w:rPr>
          <w:sz w:val="18"/>
          <w:szCs w:val="18"/>
          <w:cs/>
          <w:lang w:bidi="bn-BD"/>
        </w:rPr>
        <w:t xml:space="preserve">, followed by dexmedetomidine (20.2%) and </w:t>
      </w:r>
      <w:r w:rsidR="00E52583" w:rsidRPr="00E52583">
        <w:rPr>
          <w:sz w:val="18"/>
          <w:szCs w:val="18"/>
          <w:cs/>
          <w:lang w:bidi="bn-BD"/>
        </w:rPr>
        <w:lastRenderedPageBreak/>
        <w:t>epidural analgesic, Bupivacaine (19.4%)</w:t>
      </w:r>
      <w:r w:rsidR="00E52583" w:rsidRPr="00E52583">
        <w:rPr>
          <w:sz w:val="18"/>
          <w:szCs w:val="18"/>
        </w:rPr>
        <w:t xml:space="preserve">. </w:t>
      </w:r>
      <w:r w:rsidR="00E52583" w:rsidRPr="00E52583">
        <w:rPr>
          <w:sz w:val="18"/>
          <w:szCs w:val="18"/>
          <w:cs/>
          <w:lang w:bidi="bn-BD"/>
        </w:rPr>
        <w:t>Combination of pethidine and paracetamol (48.2%) was the most common followed by combination of pethidine and ketorolac (12.7%) as two drug combination. As three drug combination, pethidine, paracetamol and diclofenac (35.1%) was widely used.</w:t>
      </w:r>
    </w:p>
    <w:p w:rsidR="00BC7083" w:rsidRPr="00BC7083" w:rsidRDefault="009007EB" w:rsidP="00BC7083">
      <w:pPr>
        <w:spacing w:after="120" w:line="276" w:lineRule="auto"/>
        <w:jc w:val="both"/>
        <w:rPr>
          <w:rFonts w:ascii="Times New Roman" w:hAnsi="Times New Roman" w:cs="Times New Roman"/>
          <w:sz w:val="18"/>
          <w:szCs w:val="18"/>
          <w:cs/>
          <w:lang w:bidi="bn-BD"/>
        </w:rPr>
      </w:pPr>
      <w:r w:rsidRPr="001C1E94">
        <w:rPr>
          <w:rFonts w:ascii="Times New Roman" w:hAnsi="Times New Roman" w:cs="Times New Roman"/>
          <w:b/>
          <w:bCs/>
          <w:sz w:val="18"/>
          <w:szCs w:val="18"/>
          <w:cs/>
          <w:lang w:bidi="bn-BD"/>
        </w:rPr>
        <w:t>Conclusion &amp; Significance:</w:t>
      </w:r>
      <w:r w:rsidRPr="00E52583">
        <w:rPr>
          <w:b/>
          <w:bCs/>
          <w:sz w:val="18"/>
          <w:szCs w:val="18"/>
          <w:cs/>
          <w:lang w:bidi="bn-BD"/>
        </w:rPr>
        <w:t xml:space="preserve"> </w:t>
      </w:r>
      <w:r w:rsidR="00BC7083" w:rsidRPr="00BC7083">
        <w:rPr>
          <w:rFonts w:ascii="Times New Roman" w:hAnsi="Times New Roman" w:cs="Times New Roman"/>
          <w:sz w:val="18"/>
          <w:szCs w:val="18"/>
          <w:cs/>
          <w:lang w:bidi="bn-BD"/>
        </w:rPr>
        <w:t xml:space="preserve">Pethidine was the preferred analgesic for first postoperatve day in different surgical cases. </w:t>
      </w:r>
    </w:p>
    <w:p w:rsidR="005973B9" w:rsidRPr="00F84D70" w:rsidRDefault="005973B9" w:rsidP="00E52583">
      <w:pPr>
        <w:pStyle w:val="NormalWeb"/>
        <w:spacing w:line="276" w:lineRule="auto"/>
        <w:jc w:val="both"/>
        <w:rPr>
          <w:rFonts w:ascii="Tw Cen MT" w:hAnsi="Tw Cen MT"/>
        </w:rPr>
      </w:pPr>
      <w:bookmarkStart w:id="0" w:name="_GoBack"/>
      <w:bookmarkEnd w:id="0"/>
      <w:r w:rsidRPr="009007EB">
        <w:rPr>
          <w:rFonts w:ascii="Tw Cen MT" w:hAnsi="Tw Cen MT"/>
          <w:b/>
          <w:color w:val="BF5A14"/>
          <w:sz w:val="20"/>
        </w:rPr>
        <w:br/>
      </w:r>
      <w:r w:rsidRPr="00FC3732">
        <w:rPr>
          <w:rFonts w:ascii="Tw Cen MT" w:hAnsi="Tw Cen MT"/>
          <w:b/>
          <w:color w:val="BF5A14"/>
        </w:rPr>
        <w:t>Publications</w:t>
      </w:r>
    </w:p>
    <w:p w:rsidR="00693893" w:rsidRPr="009007EB" w:rsidRDefault="00693893" w:rsidP="00693893">
      <w:pPr>
        <w:pStyle w:val="ListParagraph"/>
        <w:widowControl/>
        <w:numPr>
          <w:ilvl w:val="0"/>
          <w:numId w:val="3"/>
        </w:numPr>
        <w:spacing w:before="0" w:after="200" w:line="276" w:lineRule="auto"/>
        <w:contextualSpacing/>
        <w:rPr>
          <w:rFonts w:ascii="Tw Cen MT" w:hAnsi="Tw Cen MT"/>
          <w:sz w:val="18"/>
          <w:szCs w:val="18"/>
        </w:rPr>
      </w:pPr>
      <w:r w:rsidRPr="009007EB">
        <w:rPr>
          <w:rFonts w:ascii="Tw Cen MT" w:hAnsi="Tw Cen MT"/>
          <w:i/>
          <w:sz w:val="18"/>
          <w:szCs w:val="18"/>
        </w:rPr>
        <w:t>Baqui QBOF, Hiron MM, Begum HA, Begum ZA, Chowdhury SAR (2002)</w:t>
      </w:r>
      <w:r w:rsidRPr="009007EB">
        <w:rPr>
          <w:rFonts w:ascii="Tw Cen MT" w:hAnsi="Tw Cen MT"/>
          <w:sz w:val="18"/>
          <w:szCs w:val="18"/>
        </w:rPr>
        <w:t xml:space="preserve"> Pattern of Drug Use in Enteric Fever By Graduate And Rural Prescriber. Journal of Medicine </w:t>
      </w:r>
      <w:r w:rsidRPr="009007EB">
        <w:rPr>
          <w:rFonts w:ascii="Tw Cen MT" w:hAnsi="Tw Cen MT"/>
          <w:i/>
          <w:sz w:val="18"/>
          <w:szCs w:val="18"/>
        </w:rPr>
        <w:t>14:121</w:t>
      </w:r>
    </w:p>
    <w:p w:rsidR="00693893" w:rsidRPr="009007EB" w:rsidRDefault="00693893" w:rsidP="00693893">
      <w:pPr>
        <w:pStyle w:val="ListParagraph"/>
        <w:widowControl/>
        <w:numPr>
          <w:ilvl w:val="0"/>
          <w:numId w:val="3"/>
        </w:numPr>
        <w:spacing w:before="0" w:after="200" w:line="276" w:lineRule="auto"/>
        <w:contextualSpacing/>
        <w:rPr>
          <w:rFonts w:ascii="Tw Cen MT" w:hAnsi="Tw Cen MT"/>
          <w:i/>
          <w:sz w:val="18"/>
          <w:szCs w:val="18"/>
        </w:rPr>
      </w:pPr>
      <w:r w:rsidRPr="009007EB">
        <w:rPr>
          <w:rFonts w:ascii="Tw Cen MT" w:hAnsi="Tw Cen MT"/>
          <w:i/>
          <w:sz w:val="18"/>
          <w:szCs w:val="18"/>
        </w:rPr>
        <w:t>Baqui QBOF, Chowdhury SAR (2005) Prescribing Pattern of Graduate and Non-Graduate Medical Prescribers in Rural Bangladesh.</w:t>
      </w:r>
      <w:r w:rsidRPr="009007EB">
        <w:rPr>
          <w:rFonts w:ascii="Tw Cen MT" w:hAnsi="Tw Cen MT"/>
          <w:sz w:val="18"/>
          <w:szCs w:val="18"/>
        </w:rPr>
        <w:t xml:space="preserve"> World Health Organisation: Essential Medicine and Policy Department (EDM). [Online]. Available at: (</w:t>
      </w:r>
      <w:hyperlink r:id="rId11" w:history="1">
        <w:r w:rsidRPr="009007EB">
          <w:rPr>
            <w:rStyle w:val="Hyperlink"/>
            <w:rFonts w:ascii="Tw Cen MT" w:hAnsi="Tw Cen MT"/>
            <w:sz w:val="18"/>
            <w:szCs w:val="18"/>
          </w:rPr>
          <w:t>http://mednet3.who.int/icium/icium1997/posters/2p18_text.html</w:t>
        </w:r>
      </w:hyperlink>
      <w:r w:rsidRPr="009007EB">
        <w:rPr>
          <w:rFonts w:ascii="Tw Cen MT" w:hAnsi="Tw Cen MT"/>
          <w:sz w:val="18"/>
          <w:szCs w:val="18"/>
        </w:rPr>
        <w:t xml:space="preserve"> )&gt; [23 June 2005]</w:t>
      </w:r>
    </w:p>
    <w:p w:rsidR="00693893" w:rsidRPr="009007EB" w:rsidRDefault="00693893" w:rsidP="00693893">
      <w:pPr>
        <w:pStyle w:val="ListParagraph"/>
        <w:widowControl/>
        <w:numPr>
          <w:ilvl w:val="0"/>
          <w:numId w:val="3"/>
        </w:numPr>
        <w:spacing w:before="0" w:after="200" w:line="276" w:lineRule="auto"/>
        <w:contextualSpacing/>
        <w:rPr>
          <w:rFonts w:ascii="Tw Cen MT" w:hAnsi="Tw Cen MT"/>
          <w:sz w:val="18"/>
          <w:szCs w:val="18"/>
        </w:rPr>
      </w:pPr>
      <w:r w:rsidRPr="009007EB">
        <w:rPr>
          <w:rFonts w:ascii="Tw Cen MT" w:hAnsi="Tw Cen MT"/>
          <w:sz w:val="18"/>
          <w:szCs w:val="18"/>
        </w:rPr>
        <w:t>Scaife JC, Hou RH, Samuel ER, Baqui  F, Langley R W, Bradshaw CM, Szabadi E  (2007). Diazepam-induced disruption of classically-conditioned fear-potentiation of late-latency auditory evoked potentials is prevented by Flumazenil given before, but not after, CS-US”. Journal of Psychopharmacology 21(1):  93.</w:t>
      </w:r>
    </w:p>
    <w:p w:rsidR="00211426" w:rsidRPr="009007EB" w:rsidRDefault="00211426" w:rsidP="005E541C">
      <w:pPr>
        <w:pStyle w:val="ListParagraph"/>
        <w:widowControl/>
        <w:numPr>
          <w:ilvl w:val="0"/>
          <w:numId w:val="3"/>
        </w:numPr>
        <w:spacing w:before="0" w:line="240" w:lineRule="auto"/>
        <w:ind w:left="386"/>
        <w:contextualSpacing/>
        <w:rPr>
          <w:rFonts w:ascii="Tw Cen MT" w:hAnsi="Tw Cen MT"/>
          <w:sz w:val="18"/>
          <w:szCs w:val="18"/>
        </w:rPr>
      </w:pPr>
      <w:r w:rsidRPr="009007EB">
        <w:rPr>
          <w:rFonts w:ascii="Tw Cen MT" w:hAnsi="Tw Cen MT"/>
          <w:i/>
          <w:sz w:val="18"/>
          <w:szCs w:val="18"/>
        </w:rPr>
        <w:t>Chowdhury SAR, Baqui QBOF (2005) Improvement of prescribing practices after launching ARI project.</w:t>
      </w:r>
      <w:r w:rsidRPr="009007EB">
        <w:rPr>
          <w:rFonts w:ascii="Tw Cen MT" w:hAnsi="Tw Cen MT"/>
          <w:sz w:val="18"/>
          <w:szCs w:val="18"/>
        </w:rPr>
        <w:t xml:space="preserve"> World Health Organisation: Essential Medicine and Policy Department (EDM). [Online]. Available at:</w:t>
      </w:r>
    </w:p>
    <w:p w:rsidR="00211426" w:rsidRPr="009007EB" w:rsidRDefault="00211426" w:rsidP="00211426">
      <w:pPr>
        <w:pStyle w:val="ListParagraph"/>
        <w:widowControl/>
        <w:spacing w:before="0" w:line="240" w:lineRule="auto"/>
        <w:ind w:left="386" w:firstLine="0"/>
        <w:contextualSpacing/>
        <w:rPr>
          <w:rFonts w:ascii="Tw Cen MT" w:hAnsi="Tw Cen MT"/>
          <w:sz w:val="18"/>
          <w:szCs w:val="18"/>
        </w:rPr>
      </w:pPr>
      <w:r w:rsidRPr="009007EB">
        <w:rPr>
          <w:rFonts w:ascii="Tw Cen MT" w:hAnsi="Tw Cen MT"/>
          <w:sz w:val="18"/>
          <w:szCs w:val="18"/>
        </w:rPr>
        <w:t>(</w:t>
      </w:r>
      <w:hyperlink r:id="rId12" w:history="1">
        <w:r w:rsidRPr="009007EB">
          <w:rPr>
            <w:rStyle w:val="Hyperlink"/>
            <w:rFonts w:ascii="Tw Cen MT" w:hAnsi="Tw Cen MT"/>
            <w:sz w:val="18"/>
            <w:szCs w:val="18"/>
          </w:rPr>
          <w:t>http://mednet3.who.int/icium/icium1997/posters/2f1_text.html</w:t>
        </w:r>
      </w:hyperlink>
      <w:r w:rsidRPr="009007EB">
        <w:rPr>
          <w:rFonts w:ascii="Tw Cen MT" w:hAnsi="Tw Cen MT"/>
          <w:sz w:val="18"/>
          <w:szCs w:val="18"/>
        </w:rPr>
        <w:t>)&gt; [29 April 2005]</w:t>
      </w:r>
      <w:r w:rsidR="005973B9" w:rsidRPr="009007EB">
        <w:rPr>
          <w:rFonts w:ascii="Tw Cen MT" w:hAnsi="Tw Cen MT"/>
          <w:sz w:val="18"/>
          <w:szCs w:val="18"/>
        </w:rPr>
        <w:t>.</w:t>
      </w:r>
    </w:p>
    <w:p w:rsidR="00AE3E37" w:rsidRPr="009007EB" w:rsidRDefault="00211426" w:rsidP="00211426">
      <w:pPr>
        <w:pStyle w:val="ListParagraph"/>
        <w:widowControl/>
        <w:numPr>
          <w:ilvl w:val="0"/>
          <w:numId w:val="3"/>
        </w:numPr>
        <w:spacing w:before="0" w:after="200" w:line="276" w:lineRule="auto"/>
        <w:contextualSpacing/>
        <w:rPr>
          <w:rFonts w:ascii="Tw Cen MT" w:hAnsi="Tw Cen MT"/>
        </w:rPr>
      </w:pPr>
      <w:r w:rsidRPr="009007EB">
        <w:rPr>
          <w:rFonts w:ascii="Tw Cen MT" w:hAnsi="Tw Cen MT" w:cstheme="minorHAnsi"/>
          <w:i/>
          <w:sz w:val="18"/>
          <w:szCs w:val="18"/>
        </w:rPr>
        <w:t xml:space="preserve">Abduljawad KA, Baqui  F, Langley RW, Bradshaw CM, Szabadi  E (2007) Effects of Threat of Electric Shock and Diazepam on the N1/P2 Auditory  Evoked Potential Elicited  by  low –Intensity Auditory Stimuli, </w:t>
      </w:r>
      <w:hyperlink r:id="rId13" w:tooltip="Journal of psychopharmacology (Oxford, England)." w:history="1">
        <w:r w:rsidRPr="009007EB">
          <w:rPr>
            <w:rStyle w:val="Hyperlink"/>
            <w:rFonts w:ascii="Tw Cen MT" w:hAnsi="Tw Cen MT" w:cstheme="minorHAnsi"/>
            <w:sz w:val="18"/>
            <w:szCs w:val="18"/>
          </w:rPr>
          <w:t>J Psychopharmacol.</w:t>
        </w:r>
      </w:hyperlink>
      <w:r w:rsidRPr="009007EB">
        <w:rPr>
          <w:rFonts w:ascii="Tw Cen MT" w:hAnsi="Tw Cen MT" w:cstheme="minorHAnsi"/>
          <w:sz w:val="18"/>
          <w:szCs w:val="18"/>
        </w:rPr>
        <w:t xml:space="preserve"> 2008 Nov;22(8):828-35.</w:t>
      </w:r>
    </w:p>
    <w:p w:rsidR="00AE3E37" w:rsidRPr="009007EB" w:rsidRDefault="00AE3E37">
      <w:pPr>
        <w:spacing w:line="200" w:lineRule="exact"/>
        <w:jc w:val="both"/>
        <w:rPr>
          <w:sz w:val="16"/>
        </w:rPr>
        <w:sectPr w:rsidR="00AE3E37" w:rsidRPr="009007E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2F0131" w:rsidRPr="005A78FF" w:rsidRDefault="002F0131">
      <w:pPr>
        <w:pStyle w:val="BodyText"/>
        <w:rPr>
          <w:rFonts w:ascii="Calibri"/>
          <w:sz w:val="2"/>
        </w:rPr>
      </w:pPr>
    </w:p>
    <w:p w:rsidR="002F0131" w:rsidRDefault="002F0131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2F0131" w:rsidRDefault="002F0131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2F0131" w:rsidRPr="00A76706" w:rsidRDefault="00EB3A84" w:rsidP="00A76706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wrap type="none"/>
            <w10:anchorlock/>
          </v:group>
        </w:pic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2F0131" w:rsidRPr="00A76706" w:rsidRDefault="002F0131" w:rsidP="00EE6421">
      <w:pPr>
        <w:spacing w:after="200" w:line="276" w:lineRule="auto"/>
        <w:rPr>
          <w:rFonts w:ascii="Arial" w:eastAsia="Verdana" w:hAnsi="Arial" w:cs="Arial"/>
          <w:sz w:val="2"/>
          <w:szCs w:val="14"/>
        </w:rPr>
      </w:pPr>
    </w:p>
    <w:p w:rsidR="00EE6421" w:rsidRPr="00CE0EAB" w:rsidRDefault="00EE6421" w:rsidP="00CE0EAB">
      <w:pPr>
        <w:spacing w:after="200" w:line="276" w:lineRule="auto"/>
        <w:jc w:val="both"/>
        <w:rPr>
          <w:rFonts w:ascii="Arial" w:eastAsia="Verdana" w:hAnsi="Arial" w:cs="Arial"/>
          <w:sz w:val="16"/>
          <w:szCs w:val="16"/>
        </w:rPr>
      </w:pPr>
      <w:r w:rsidRPr="00CE0EAB">
        <w:rPr>
          <w:rFonts w:ascii="Arial" w:eastAsia="Verdana" w:hAnsi="Arial" w:cs="Arial"/>
          <w:sz w:val="16"/>
          <w:szCs w:val="16"/>
        </w:rPr>
        <w:t>He is Prof. Dr. Qufshe</w:t>
      </w:r>
      <w:r w:rsidR="00CE0EAB" w:rsidRPr="00CE0EAB">
        <w:rPr>
          <w:rFonts w:ascii="Arial" w:eastAsia="Verdana" w:hAnsi="Arial" w:cstheme="minorBidi" w:hint="cs"/>
          <w:sz w:val="16"/>
          <w:szCs w:val="16"/>
          <w:cs/>
          <w:lang w:bidi="bn-BD"/>
        </w:rPr>
        <w:t xml:space="preserve"> </w:t>
      </w:r>
      <w:r w:rsidRPr="00CE0EAB">
        <w:rPr>
          <w:rFonts w:ascii="Arial" w:eastAsia="Verdana" w:hAnsi="Arial" w:cs="Arial"/>
          <w:sz w:val="16"/>
          <w:szCs w:val="16"/>
        </w:rPr>
        <w:t>Bardar</w:t>
      </w:r>
      <w:r w:rsidR="00CE0EAB" w:rsidRPr="00CE0EAB">
        <w:rPr>
          <w:rFonts w:ascii="Arial" w:eastAsia="Verdana" w:hAnsi="Arial" w:cstheme="minorBidi" w:hint="cs"/>
          <w:sz w:val="16"/>
          <w:szCs w:val="16"/>
          <w:cs/>
          <w:lang w:bidi="bn-BD"/>
        </w:rPr>
        <w:t xml:space="preserve"> </w:t>
      </w:r>
      <w:r w:rsidRPr="00CE0EAB">
        <w:rPr>
          <w:rFonts w:ascii="Arial" w:eastAsia="Verdana" w:hAnsi="Arial" w:cs="Arial"/>
          <w:sz w:val="16"/>
          <w:szCs w:val="16"/>
        </w:rPr>
        <w:t>Oias</w:t>
      </w:r>
      <w:r w:rsidR="00CE0EAB" w:rsidRPr="00CE0EAB">
        <w:rPr>
          <w:rFonts w:ascii="Arial" w:eastAsia="Verdana" w:hAnsi="Arial" w:cstheme="minorBidi" w:hint="cs"/>
          <w:sz w:val="16"/>
          <w:szCs w:val="16"/>
          <w:cs/>
          <w:lang w:bidi="bn-BD"/>
        </w:rPr>
        <w:t xml:space="preserve"> </w:t>
      </w:r>
      <w:r w:rsidRPr="00CE0EAB">
        <w:rPr>
          <w:rFonts w:ascii="Arial" w:eastAsia="Verdana" w:hAnsi="Arial" w:cs="Arial"/>
          <w:sz w:val="16"/>
          <w:szCs w:val="16"/>
        </w:rPr>
        <w:t>Fazlul</w:t>
      </w:r>
      <w:r w:rsidR="00CE0EAB" w:rsidRPr="00CE0EAB">
        <w:rPr>
          <w:rFonts w:ascii="Arial" w:eastAsia="Verdana" w:hAnsi="Arial" w:cstheme="minorBidi" w:hint="cs"/>
          <w:sz w:val="16"/>
          <w:szCs w:val="16"/>
          <w:cs/>
          <w:lang w:bidi="bn-BD"/>
        </w:rPr>
        <w:t xml:space="preserve"> </w:t>
      </w:r>
      <w:r w:rsidRPr="00CE0EAB">
        <w:rPr>
          <w:rFonts w:ascii="Arial" w:eastAsia="Verdana" w:hAnsi="Arial" w:cs="Arial"/>
          <w:sz w:val="16"/>
          <w:szCs w:val="16"/>
        </w:rPr>
        <w:t>Baqui, Former Professor &amp; Head of the Department of Pharmacology &amp; Therapeutics and Project Director in Prime Medical College in Bangladesh for last six years. He has joined in MD</w:t>
      </w:r>
      <w:r w:rsidR="00CE0EAB" w:rsidRPr="00CE0EAB">
        <w:rPr>
          <w:rFonts w:ascii="Arial" w:eastAsia="Verdana" w:hAnsi="Arial" w:cstheme="minorBidi" w:hint="cs"/>
          <w:sz w:val="16"/>
          <w:szCs w:val="16"/>
          <w:cs/>
          <w:lang w:bidi="bn-BD"/>
        </w:rPr>
        <w:t xml:space="preserve"> </w:t>
      </w:r>
      <w:r w:rsidRPr="00CE0EAB">
        <w:rPr>
          <w:rFonts w:ascii="Arial" w:eastAsia="Verdana" w:hAnsi="Arial" w:cs="Arial"/>
          <w:sz w:val="16"/>
          <w:szCs w:val="16"/>
        </w:rPr>
        <w:t>(AUCMS), Penang, Malaysia as Professor &amp; Head of the department of Pharmacology on 1</w:t>
      </w:r>
      <w:r w:rsidRPr="00CE0EAB">
        <w:rPr>
          <w:rFonts w:ascii="Arial" w:eastAsia="Verdana" w:hAnsi="Arial" w:cs="Arial"/>
          <w:sz w:val="16"/>
          <w:szCs w:val="16"/>
          <w:vertAlign w:val="superscript"/>
        </w:rPr>
        <w:t>st</w:t>
      </w:r>
      <w:r w:rsidRPr="00CE0EAB">
        <w:rPr>
          <w:rFonts w:ascii="Arial" w:eastAsia="Verdana" w:hAnsi="Arial" w:cs="Arial"/>
          <w:sz w:val="16"/>
          <w:szCs w:val="16"/>
        </w:rPr>
        <w:t xml:space="preserve"> April </w:t>
      </w:r>
      <w:r w:rsidR="00CE0EAB">
        <w:rPr>
          <w:rFonts w:ascii="Arial" w:eastAsia="Verdana" w:hAnsi="Arial" w:cstheme="minorBidi" w:hint="cs"/>
          <w:sz w:val="16"/>
          <w:szCs w:val="16"/>
          <w:cs/>
          <w:lang w:bidi="bn-BD"/>
        </w:rPr>
        <w:t xml:space="preserve"> </w:t>
      </w:r>
      <w:r w:rsidRPr="00CE0EAB">
        <w:rPr>
          <w:rFonts w:ascii="Arial" w:eastAsia="Verdana" w:hAnsi="Arial" w:cs="Arial"/>
          <w:sz w:val="16"/>
          <w:szCs w:val="16"/>
        </w:rPr>
        <w:t xml:space="preserve">2014. Currently he is working as Academic </w:t>
      </w:r>
      <w:r w:rsidR="002F2842" w:rsidRPr="00CE0EAB">
        <w:rPr>
          <w:rFonts w:ascii="Arial" w:eastAsia="Verdana" w:hAnsi="Arial" w:cs="Arial"/>
          <w:sz w:val="16"/>
          <w:szCs w:val="16"/>
        </w:rPr>
        <w:t>coordinator</w:t>
      </w:r>
      <w:r w:rsidRPr="00CE0EAB">
        <w:rPr>
          <w:rFonts w:ascii="Arial" w:eastAsia="Verdana" w:hAnsi="Arial" w:cs="Arial"/>
          <w:sz w:val="16"/>
          <w:szCs w:val="16"/>
        </w:rPr>
        <w:t>, Member of the review committee and Head of the department of Pharmacology and Therapeutics.</w:t>
      </w:r>
    </w:p>
    <w:p w:rsidR="00EE6421" w:rsidRPr="00CE0EAB" w:rsidRDefault="00EE6421" w:rsidP="00CE0EAB">
      <w:pPr>
        <w:spacing w:after="200" w:line="276" w:lineRule="auto"/>
        <w:jc w:val="both"/>
        <w:rPr>
          <w:rFonts w:ascii="Arial" w:eastAsia="Verdana" w:hAnsi="Arial" w:cs="Arial"/>
          <w:sz w:val="16"/>
          <w:szCs w:val="16"/>
        </w:rPr>
      </w:pPr>
      <w:r w:rsidRPr="00CE0EAB">
        <w:rPr>
          <w:rFonts w:ascii="Arial" w:eastAsia="Verdana" w:hAnsi="Arial" w:cs="Arial"/>
          <w:sz w:val="16"/>
          <w:szCs w:val="16"/>
        </w:rPr>
        <w:t xml:space="preserve">He has 30 years teaching experiences in the field of pharmacology and therapeutics. He has many publications in research activities published in National </w:t>
      </w:r>
      <w:r w:rsidR="00566890" w:rsidRPr="00CE0EAB">
        <w:rPr>
          <w:rFonts w:ascii="Arial" w:eastAsia="Verdana" w:hAnsi="Arial" w:cs="Arial"/>
          <w:sz w:val="16"/>
          <w:szCs w:val="16"/>
        </w:rPr>
        <w:t>&amp; International</w:t>
      </w:r>
      <w:r w:rsidR="00CE0EAB" w:rsidRPr="00CE0EAB">
        <w:rPr>
          <w:rFonts w:ascii="Arial" w:eastAsia="Verdana" w:hAnsi="Arial" w:cs="Arial"/>
          <w:sz w:val="16"/>
          <w:szCs w:val="16"/>
          <w:cs/>
          <w:lang w:bidi="bn-BD"/>
        </w:rPr>
        <w:t xml:space="preserve"> </w:t>
      </w:r>
      <w:r w:rsidR="00566890" w:rsidRPr="00CE0EAB">
        <w:rPr>
          <w:rFonts w:ascii="Arial" w:eastAsia="Verdana" w:hAnsi="Arial" w:cs="Arial"/>
          <w:sz w:val="16"/>
          <w:szCs w:val="16"/>
        </w:rPr>
        <w:t>journal of</w:t>
      </w:r>
      <w:r w:rsidRPr="00CE0EAB">
        <w:rPr>
          <w:rFonts w:ascii="Arial" w:eastAsia="Verdana" w:hAnsi="Arial" w:cs="Arial"/>
          <w:sz w:val="16"/>
          <w:szCs w:val="16"/>
        </w:rPr>
        <w:t xml:space="preserve"> which he</w:t>
      </w:r>
      <w:r w:rsidR="00CE0EAB" w:rsidRPr="00CE0EAB">
        <w:rPr>
          <w:rFonts w:ascii="Arial" w:eastAsia="Verdana" w:hAnsi="Arial" w:cs="Arial"/>
          <w:sz w:val="16"/>
          <w:szCs w:val="16"/>
          <w:cs/>
          <w:lang w:bidi="bn-BD"/>
        </w:rPr>
        <w:t xml:space="preserve"> </w:t>
      </w:r>
      <w:r w:rsidRPr="00CE0EAB">
        <w:rPr>
          <w:rFonts w:ascii="Arial" w:eastAsia="Verdana" w:hAnsi="Arial" w:cs="Arial"/>
          <w:sz w:val="16"/>
          <w:szCs w:val="16"/>
        </w:rPr>
        <w:t xml:space="preserve">has presented in Oxford University, Cambridge University in UK and WHO </w:t>
      </w:r>
      <w:r w:rsidR="00566890" w:rsidRPr="00CE0EAB">
        <w:rPr>
          <w:rFonts w:ascii="Arial" w:eastAsia="Verdana" w:hAnsi="Arial" w:cs="Arial"/>
          <w:sz w:val="16"/>
          <w:szCs w:val="16"/>
        </w:rPr>
        <w:t>conference Chaingmai</w:t>
      </w:r>
      <w:r w:rsidRPr="00CE0EAB">
        <w:rPr>
          <w:rFonts w:ascii="Arial" w:eastAsia="Verdana" w:hAnsi="Arial" w:cs="Arial"/>
          <w:sz w:val="16"/>
          <w:szCs w:val="16"/>
        </w:rPr>
        <w:t xml:space="preserve">, Thailand. </w:t>
      </w:r>
    </w:p>
    <w:p w:rsidR="00EE6421" w:rsidRPr="00A76706" w:rsidRDefault="00EE6421" w:rsidP="00EE6421">
      <w:pPr>
        <w:spacing w:after="200" w:line="276" w:lineRule="auto"/>
        <w:rPr>
          <w:rFonts w:ascii="Arial" w:eastAsia="Verdana" w:hAnsi="Arial" w:cs="Arial"/>
          <w:sz w:val="16"/>
          <w:szCs w:val="14"/>
        </w:rPr>
      </w:pPr>
      <w:r w:rsidRPr="00A76706">
        <w:rPr>
          <w:rFonts w:ascii="Arial" w:eastAsia="Verdana" w:hAnsi="Arial" w:cs="Arial"/>
          <w:sz w:val="16"/>
          <w:szCs w:val="14"/>
        </w:rPr>
        <w:t>He has attended many international conferences in Riyadh, Saudi Arabia, Malaysia, Thailand, UK and Bangladesh.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566890" w:rsidRPr="00D22A4F">
          <w:rPr>
            <w:rStyle w:val="Hyperlink"/>
            <w:rFonts w:ascii="Arial"/>
            <w:sz w:val="14"/>
          </w:rPr>
          <w:t>fazlul.baqui@gmail.com</w:t>
        </w:r>
      </w:hyperlink>
    </w:p>
    <w:p w:rsidR="00AE3E37" w:rsidRDefault="00EB3A84">
      <w:pPr>
        <w:pStyle w:val="BodyText"/>
        <w:spacing w:before="2"/>
        <w:rPr>
          <w:rFonts w:ascii="Arial"/>
          <w:sz w:val="19"/>
        </w:rPr>
      </w:pPr>
      <w:r w:rsidRPr="00EB3A84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 w:rsidP="005A78F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5A78FF">
          <w:type w:val="continuous"/>
          <w:pgSz w:w="11910" w:h="16840"/>
          <w:pgMar w:top="1740" w:right="600" w:bottom="568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891" w:rsidRDefault="00834891">
      <w:r>
        <w:separator/>
      </w:r>
    </w:p>
  </w:endnote>
  <w:endnote w:type="continuationSeparator" w:id="1">
    <w:p w:rsidR="00834891" w:rsidRDefault="008348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1C" w:rsidRDefault="005E541C">
    <w:pPr>
      <w:pStyle w:val="BodyText"/>
      <w:spacing w:line="14" w:lineRule="auto"/>
      <w:rPr>
        <w:sz w:val="20"/>
      </w:rPr>
    </w:pPr>
    <w:r w:rsidRPr="00EB3A8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5E541C" w:rsidRPr="005B3A56" w:rsidRDefault="005E541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5E541C" w:rsidRPr="005B3A56" w:rsidRDefault="005E541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EB3A84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5E541C" w:rsidRPr="005B3A56" w:rsidRDefault="005E541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5E541C" w:rsidRPr="005B3A56" w:rsidRDefault="005E541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EB3A84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5E541C" w:rsidRPr="005B3A56" w:rsidRDefault="005E541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5E541C" w:rsidRPr="005B3A56" w:rsidRDefault="005E541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891" w:rsidRDefault="00834891">
      <w:r>
        <w:separator/>
      </w:r>
    </w:p>
  </w:footnote>
  <w:footnote w:type="continuationSeparator" w:id="1">
    <w:p w:rsidR="00834891" w:rsidRDefault="008348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1C" w:rsidRDefault="005E541C">
    <w:pPr>
      <w:pStyle w:val="BodyText"/>
      <w:spacing w:line="14" w:lineRule="auto"/>
      <w:rPr>
        <w:sz w:val="20"/>
      </w:rPr>
    </w:pPr>
    <w:r w:rsidRPr="00EB3A8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5E541C" w:rsidRPr="005B3A56" w:rsidRDefault="005E541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EB3A84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5E541C" w:rsidRPr="005B3A56" w:rsidRDefault="005E541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5E541C" w:rsidRPr="005B3A56" w:rsidRDefault="005E541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06116"/>
    <w:multiLevelType w:val="hybridMultilevel"/>
    <w:tmpl w:val="C0424586"/>
    <w:lvl w:ilvl="0" w:tplc="0809000F">
      <w:start w:val="1"/>
      <w:numFmt w:val="decimal"/>
      <w:lvlText w:val="%1."/>
      <w:lvlJc w:val="left"/>
      <w:pPr>
        <w:ind w:left="1103" w:hanging="360"/>
      </w:pPr>
    </w:lvl>
    <w:lvl w:ilvl="1" w:tplc="08090019" w:tentative="1">
      <w:start w:val="1"/>
      <w:numFmt w:val="lowerLetter"/>
      <w:lvlText w:val="%2."/>
      <w:lvlJc w:val="left"/>
      <w:pPr>
        <w:ind w:left="1823" w:hanging="360"/>
      </w:pPr>
    </w:lvl>
    <w:lvl w:ilvl="2" w:tplc="0809001B" w:tentative="1">
      <w:start w:val="1"/>
      <w:numFmt w:val="lowerRoman"/>
      <w:lvlText w:val="%3."/>
      <w:lvlJc w:val="right"/>
      <w:pPr>
        <w:ind w:left="2543" w:hanging="180"/>
      </w:pPr>
    </w:lvl>
    <w:lvl w:ilvl="3" w:tplc="0809000F" w:tentative="1">
      <w:start w:val="1"/>
      <w:numFmt w:val="decimal"/>
      <w:lvlText w:val="%4."/>
      <w:lvlJc w:val="left"/>
      <w:pPr>
        <w:ind w:left="3263" w:hanging="360"/>
      </w:pPr>
    </w:lvl>
    <w:lvl w:ilvl="4" w:tplc="08090019" w:tentative="1">
      <w:start w:val="1"/>
      <w:numFmt w:val="lowerLetter"/>
      <w:lvlText w:val="%5."/>
      <w:lvlJc w:val="left"/>
      <w:pPr>
        <w:ind w:left="3983" w:hanging="360"/>
      </w:pPr>
    </w:lvl>
    <w:lvl w:ilvl="5" w:tplc="0809001B" w:tentative="1">
      <w:start w:val="1"/>
      <w:numFmt w:val="lowerRoman"/>
      <w:lvlText w:val="%6."/>
      <w:lvlJc w:val="right"/>
      <w:pPr>
        <w:ind w:left="4703" w:hanging="180"/>
      </w:pPr>
    </w:lvl>
    <w:lvl w:ilvl="6" w:tplc="0809000F" w:tentative="1">
      <w:start w:val="1"/>
      <w:numFmt w:val="decimal"/>
      <w:lvlText w:val="%7."/>
      <w:lvlJc w:val="left"/>
      <w:pPr>
        <w:ind w:left="5423" w:hanging="360"/>
      </w:pPr>
    </w:lvl>
    <w:lvl w:ilvl="7" w:tplc="08090019" w:tentative="1">
      <w:start w:val="1"/>
      <w:numFmt w:val="lowerLetter"/>
      <w:lvlText w:val="%8."/>
      <w:lvlJc w:val="left"/>
      <w:pPr>
        <w:ind w:left="6143" w:hanging="360"/>
      </w:pPr>
    </w:lvl>
    <w:lvl w:ilvl="8" w:tplc="08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31C80552"/>
    <w:multiLevelType w:val="hybridMultilevel"/>
    <w:tmpl w:val="CC0A5A2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C6A7ADF"/>
    <w:multiLevelType w:val="hybridMultilevel"/>
    <w:tmpl w:val="2AE4CA26"/>
    <w:lvl w:ilvl="0" w:tplc="0809000F">
      <w:start w:val="1"/>
      <w:numFmt w:val="decimal"/>
      <w:lvlText w:val="%1."/>
      <w:lvlJc w:val="left"/>
      <w:pPr>
        <w:ind w:left="1103" w:hanging="360"/>
      </w:pPr>
    </w:lvl>
    <w:lvl w:ilvl="1" w:tplc="08090019" w:tentative="1">
      <w:start w:val="1"/>
      <w:numFmt w:val="lowerLetter"/>
      <w:lvlText w:val="%2."/>
      <w:lvlJc w:val="left"/>
      <w:pPr>
        <w:ind w:left="1823" w:hanging="360"/>
      </w:pPr>
    </w:lvl>
    <w:lvl w:ilvl="2" w:tplc="0809001B" w:tentative="1">
      <w:start w:val="1"/>
      <w:numFmt w:val="lowerRoman"/>
      <w:lvlText w:val="%3."/>
      <w:lvlJc w:val="right"/>
      <w:pPr>
        <w:ind w:left="2543" w:hanging="180"/>
      </w:pPr>
    </w:lvl>
    <w:lvl w:ilvl="3" w:tplc="0809000F" w:tentative="1">
      <w:start w:val="1"/>
      <w:numFmt w:val="decimal"/>
      <w:lvlText w:val="%4."/>
      <w:lvlJc w:val="left"/>
      <w:pPr>
        <w:ind w:left="3263" w:hanging="360"/>
      </w:pPr>
    </w:lvl>
    <w:lvl w:ilvl="4" w:tplc="08090019" w:tentative="1">
      <w:start w:val="1"/>
      <w:numFmt w:val="lowerLetter"/>
      <w:lvlText w:val="%5."/>
      <w:lvlJc w:val="left"/>
      <w:pPr>
        <w:ind w:left="3983" w:hanging="360"/>
      </w:pPr>
    </w:lvl>
    <w:lvl w:ilvl="5" w:tplc="0809001B" w:tentative="1">
      <w:start w:val="1"/>
      <w:numFmt w:val="lowerRoman"/>
      <w:lvlText w:val="%6."/>
      <w:lvlJc w:val="right"/>
      <w:pPr>
        <w:ind w:left="4703" w:hanging="180"/>
      </w:pPr>
    </w:lvl>
    <w:lvl w:ilvl="6" w:tplc="0809000F" w:tentative="1">
      <w:start w:val="1"/>
      <w:numFmt w:val="decimal"/>
      <w:lvlText w:val="%7."/>
      <w:lvlJc w:val="left"/>
      <w:pPr>
        <w:ind w:left="5423" w:hanging="360"/>
      </w:pPr>
    </w:lvl>
    <w:lvl w:ilvl="7" w:tplc="08090019" w:tentative="1">
      <w:start w:val="1"/>
      <w:numFmt w:val="lowerLetter"/>
      <w:lvlText w:val="%8."/>
      <w:lvlJc w:val="left"/>
      <w:pPr>
        <w:ind w:left="6143" w:hanging="360"/>
      </w:pPr>
    </w:lvl>
    <w:lvl w:ilvl="8" w:tplc="080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6ADD65BE"/>
    <w:multiLevelType w:val="hybridMultilevel"/>
    <w:tmpl w:val="CF72CEEE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62D59"/>
    <w:rsid w:val="000E2911"/>
    <w:rsid w:val="001263DF"/>
    <w:rsid w:val="001C1E94"/>
    <w:rsid w:val="00211426"/>
    <w:rsid w:val="00292ED9"/>
    <w:rsid w:val="002A67A9"/>
    <w:rsid w:val="002D0337"/>
    <w:rsid w:val="002F0131"/>
    <w:rsid w:val="002F2842"/>
    <w:rsid w:val="0031032E"/>
    <w:rsid w:val="003E1E3A"/>
    <w:rsid w:val="00404E5B"/>
    <w:rsid w:val="00414F7B"/>
    <w:rsid w:val="004355DC"/>
    <w:rsid w:val="004749B4"/>
    <w:rsid w:val="00494130"/>
    <w:rsid w:val="004D193A"/>
    <w:rsid w:val="004E567A"/>
    <w:rsid w:val="004F3523"/>
    <w:rsid w:val="00566890"/>
    <w:rsid w:val="005973B9"/>
    <w:rsid w:val="005A78FF"/>
    <w:rsid w:val="005B3A56"/>
    <w:rsid w:val="005E541C"/>
    <w:rsid w:val="006058E5"/>
    <w:rsid w:val="006060CE"/>
    <w:rsid w:val="0063497F"/>
    <w:rsid w:val="00693893"/>
    <w:rsid w:val="006A4053"/>
    <w:rsid w:val="007755E0"/>
    <w:rsid w:val="00797EA2"/>
    <w:rsid w:val="00834891"/>
    <w:rsid w:val="00873DF0"/>
    <w:rsid w:val="008756E6"/>
    <w:rsid w:val="009007EB"/>
    <w:rsid w:val="009B2D44"/>
    <w:rsid w:val="009C6E7F"/>
    <w:rsid w:val="00A07E82"/>
    <w:rsid w:val="00A76706"/>
    <w:rsid w:val="00A9710C"/>
    <w:rsid w:val="00AB17A9"/>
    <w:rsid w:val="00AE3E37"/>
    <w:rsid w:val="00AF5A4C"/>
    <w:rsid w:val="00B21A57"/>
    <w:rsid w:val="00BA10E8"/>
    <w:rsid w:val="00BC7083"/>
    <w:rsid w:val="00C33602"/>
    <w:rsid w:val="00CD6F55"/>
    <w:rsid w:val="00CE0EAB"/>
    <w:rsid w:val="00D30940"/>
    <w:rsid w:val="00D61D32"/>
    <w:rsid w:val="00DE3104"/>
    <w:rsid w:val="00E52583"/>
    <w:rsid w:val="00EA47B4"/>
    <w:rsid w:val="00EB3A84"/>
    <w:rsid w:val="00EE6421"/>
    <w:rsid w:val="00F14EA1"/>
    <w:rsid w:val="00F72EEA"/>
    <w:rsid w:val="00F84CAE"/>
    <w:rsid w:val="00F84D70"/>
    <w:rsid w:val="00FC3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uthors">
    <w:name w:val="authors"/>
    <w:basedOn w:val="Normal"/>
    <w:rsid w:val="0069389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693893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E6421"/>
    <w:rPr>
      <w:color w:val="808080"/>
      <w:shd w:val="clear" w:color="auto" w:fill="E6E6E6"/>
    </w:rPr>
  </w:style>
  <w:style w:type="paragraph" w:styleId="NormalWeb">
    <w:name w:val="Normal (Web)"/>
    <w:basedOn w:val="Normal"/>
    <w:rsid w:val="00062D5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medcentral.com/1471-2296/3/17/" TargetMode="External"/><Relationship Id="rId13" Type="http://schemas.openxmlformats.org/officeDocument/2006/relationships/hyperlink" Target="https://www.ncbi.nlm.nih.gov/pubmed/1820893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omedcentral.com/1471-2296/3/17/" TargetMode="External"/><Relationship Id="rId12" Type="http://schemas.openxmlformats.org/officeDocument/2006/relationships/hyperlink" Target="http://mednet3.who.int/icium/icium1997/posters/2f1_text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ednet3.who.int/icium/icium1997/posters/2p18_text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mailto:fazlul.baqui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5102</CharactersWithSpaces>
  <SharedDoc>false</SharedDoc>
  <HLinks>
    <vt:vector size="42" baseType="variant">
      <vt:variant>
        <vt:i4>3407960</vt:i4>
      </vt:variant>
      <vt:variant>
        <vt:i4>18</vt:i4>
      </vt:variant>
      <vt:variant>
        <vt:i4>0</vt:i4>
      </vt:variant>
      <vt:variant>
        <vt:i4>5</vt:i4>
      </vt:variant>
      <vt:variant>
        <vt:lpwstr>mailto:fazlul.baqui@gmail.com</vt:lpwstr>
      </vt:variant>
      <vt:variant>
        <vt:lpwstr/>
      </vt:variant>
      <vt:variant>
        <vt:i4>524371</vt:i4>
      </vt:variant>
      <vt:variant>
        <vt:i4>12</vt:i4>
      </vt:variant>
      <vt:variant>
        <vt:i4>0</vt:i4>
      </vt:variant>
      <vt:variant>
        <vt:i4>5</vt:i4>
      </vt:variant>
      <vt:variant>
        <vt:lpwstr>https://www.ncbi.nlm.nih.gov/pubmed/18208937</vt:lpwstr>
      </vt:variant>
      <vt:variant>
        <vt:lpwstr/>
      </vt:variant>
      <vt:variant>
        <vt:i4>5439548</vt:i4>
      </vt:variant>
      <vt:variant>
        <vt:i4>9</vt:i4>
      </vt:variant>
      <vt:variant>
        <vt:i4>0</vt:i4>
      </vt:variant>
      <vt:variant>
        <vt:i4>5</vt:i4>
      </vt:variant>
      <vt:variant>
        <vt:lpwstr>http://mednet3.who.int/icium/icium1997/posters/2f1_text.html</vt:lpwstr>
      </vt:variant>
      <vt:variant>
        <vt:lpwstr/>
      </vt:variant>
      <vt:variant>
        <vt:i4>2228239</vt:i4>
      </vt:variant>
      <vt:variant>
        <vt:i4>6</vt:i4>
      </vt:variant>
      <vt:variant>
        <vt:i4>0</vt:i4>
      </vt:variant>
      <vt:variant>
        <vt:i4>5</vt:i4>
      </vt:variant>
      <vt:variant>
        <vt:lpwstr>http://mednet3.who.int/icium/icium1997/posters/2p18_text.html</vt:lpwstr>
      </vt:variant>
      <vt:variant>
        <vt:lpwstr/>
      </vt:variant>
      <vt:variant>
        <vt:i4>13</vt:i4>
      </vt:variant>
      <vt:variant>
        <vt:i4>3</vt:i4>
      </vt:variant>
      <vt:variant>
        <vt:i4>0</vt:i4>
      </vt:variant>
      <vt:variant>
        <vt:i4>5</vt:i4>
      </vt:variant>
      <vt:variant>
        <vt:lpwstr>http://www.biomedcentral.com/1471-2296/3/17/</vt:lpwstr>
      </vt:variant>
      <vt:variant>
        <vt:lpwstr>ins2</vt:lpwstr>
      </vt:variant>
      <vt:variant>
        <vt:i4>196621</vt:i4>
      </vt:variant>
      <vt:variant>
        <vt:i4>0</vt:i4>
      </vt:variant>
      <vt:variant>
        <vt:i4>0</vt:i4>
      </vt:variant>
      <vt:variant>
        <vt:i4>5</vt:i4>
      </vt:variant>
      <vt:variant>
        <vt:lpwstr>http://www.biomedcentral.com/1471-2296/3/17/</vt:lpwstr>
      </vt:variant>
      <vt:variant>
        <vt:lpwstr>ins1</vt:lpwstr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Fatema Johora</cp:lastModifiedBy>
  <cp:revision>2</cp:revision>
  <dcterms:created xsi:type="dcterms:W3CDTF">2018-12-01T02:39:00Z</dcterms:created>
  <dcterms:modified xsi:type="dcterms:W3CDTF">2018-12-01T02:39:00Z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