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213CA" w:rsidRPr="009B38E1" w:rsidRDefault="00B213CA" w:rsidP="00B213CA">
      <w:pPr>
        <w:pStyle w:val="Title"/>
        <w:spacing w:after="120"/>
        <w:jc w:val="left"/>
        <w:rPr>
          <w:rFonts w:ascii="Times New Roman" w:hAnsi="Times New Roman" w:cs="Times New Roman"/>
          <w:b/>
          <w:bCs/>
          <w:sz w:val="28"/>
          <w:szCs w:val="28"/>
        </w:rPr>
      </w:pPr>
      <w:r w:rsidRPr="009B38E1">
        <w:rPr>
          <w:rFonts w:ascii="Times New Roman" w:hAnsi="Times New Roman" w:cs="Times New Roman"/>
          <w:b/>
          <w:bCs/>
          <w:sz w:val="28"/>
          <w:szCs w:val="28"/>
        </w:rPr>
        <w:t xml:space="preserve">Genotoxic Risk of Graphene nanoparticles in </w:t>
      </w:r>
      <w:r w:rsidR="0099500A">
        <w:rPr>
          <w:rFonts w:ascii="Times New Roman" w:hAnsi="Times New Roman" w:cs="Times New Roman"/>
          <w:b/>
          <w:bCs/>
          <w:sz w:val="28"/>
          <w:szCs w:val="28"/>
        </w:rPr>
        <w:t xml:space="preserve"> </w:t>
      </w:r>
      <w:r w:rsidRPr="009B38E1">
        <w:rPr>
          <w:rFonts w:ascii="Times New Roman" w:hAnsi="Times New Roman" w:cs="Times New Roman"/>
          <w:b/>
          <w:bCs/>
          <w:sz w:val="28"/>
          <w:szCs w:val="28"/>
        </w:rPr>
        <w:t xml:space="preserve">Albino mice and DNA Repair capability following the stop of oral exposure </w:t>
      </w:r>
    </w:p>
    <w:p w:rsidR="00B213CA" w:rsidRPr="009B38E1" w:rsidRDefault="00B213CA" w:rsidP="00B213CA">
      <w:pPr>
        <w:pStyle w:val="BodyText"/>
        <w:rPr>
          <w:rFonts w:ascii="Times New Roman" w:hAnsi="Times New Roman" w:cs="Times New Roman"/>
          <w:sz w:val="20"/>
        </w:rPr>
      </w:pPr>
      <w:proofErr w:type="spellStart"/>
      <w:proofErr w:type="gramStart"/>
      <w:r w:rsidRPr="009B38E1">
        <w:rPr>
          <w:rFonts w:ascii="Times New Roman" w:hAnsi="Times New Roman" w:cs="Times New Roman"/>
          <w:sz w:val="20"/>
        </w:rPr>
        <w:t>Dr.Tayyaba</w:t>
      </w:r>
      <w:proofErr w:type="spellEnd"/>
      <w:proofErr w:type="gramEnd"/>
      <w:r w:rsidRPr="009B38E1">
        <w:rPr>
          <w:rFonts w:ascii="Times New Roman" w:hAnsi="Times New Roman" w:cs="Times New Roman"/>
          <w:sz w:val="20"/>
        </w:rPr>
        <w:t xml:space="preserve"> Ali, GC University, Faisalabad, Pakistan</w:t>
      </w:r>
    </w:p>
    <w:p w:rsidR="00B213CA" w:rsidRPr="009B38E1" w:rsidRDefault="00B213CA" w:rsidP="00B213CA">
      <w:pPr>
        <w:pStyle w:val="BodyText"/>
        <w:rPr>
          <w:rFonts w:ascii="Times New Roman" w:hAnsi="Times New Roman" w:cs="Times New Roman"/>
          <w:sz w:val="20"/>
        </w:rPr>
      </w:pPr>
      <w:r w:rsidRPr="009B38E1">
        <w:rPr>
          <w:rFonts w:ascii="Times New Roman" w:hAnsi="Times New Roman" w:cs="Times New Roman"/>
          <w:sz w:val="20"/>
        </w:rPr>
        <w:t>Aqsa Fayyaz, GC University, Faisalabad, Pakistan</w:t>
      </w:r>
    </w:p>
    <w:p w:rsidR="00B213CA" w:rsidRDefault="00B213CA" w:rsidP="00B213CA">
      <w:pPr>
        <w:pStyle w:val="BodyText"/>
        <w:rPr>
          <w:rFonts w:ascii="Times New Roman" w:hAnsi="Times New Roman" w:cs="Times New Roman"/>
          <w:sz w:val="20"/>
        </w:rPr>
      </w:pPr>
      <w:proofErr w:type="spellStart"/>
      <w:r w:rsidRPr="009B38E1">
        <w:rPr>
          <w:rFonts w:ascii="Times New Roman" w:hAnsi="Times New Roman" w:cs="Times New Roman"/>
          <w:sz w:val="20"/>
        </w:rPr>
        <w:t>Farkhanda</w:t>
      </w:r>
      <w:proofErr w:type="spellEnd"/>
      <w:r w:rsidRPr="009B38E1">
        <w:rPr>
          <w:rFonts w:ascii="Times New Roman" w:hAnsi="Times New Roman" w:cs="Times New Roman"/>
          <w:sz w:val="20"/>
        </w:rPr>
        <w:t xml:space="preserve"> </w:t>
      </w:r>
      <w:proofErr w:type="spellStart"/>
      <w:r w:rsidRPr="009B38E1">
        <w:rPr>
          <w:rFonts w:ascii="Times New Roman" w:hAnsi="Times New Roman" w:cs="Times New Roman"/>
          <w:sz w:val="20"/>
        </w:rPr>
        <w:t>Asad</w:t>
      </w:r>
      <w:proofErr w:type="spellEnd"/>
      <w:r w:rsidRPr="009B38E1">
        <w:rPr>
          <w:rFonts w:ascii="Times New Roman" w:hAnsi="Times New Roman" w:cs="Times New Roman"/>
          <w:sz w:val="20"/>
        </w:rPr>
        <w:t>, GC University, Faisalabad, Pakistan</w:t>
      </w:r>
    </w:p>
    <w:p w:rsidR="006725BD" w:rsidRDefault="006725BD">
      <w:pPr>
        <w:pStyle w:val="BodyText"/>
        <w:rPr>
          <w:rFonts w:ascii="Times New Roman" w:hAnsi="Times New Roman" w:cs="Times New Roman"/>
          <w:sz w:val="20"/>
        </w:rPr>
      </w:pPr>
    </w:p>
    <w:p w:rsidR="0099500A" w:rsidRDefault="006725BD" w:rsidP="006725BD">
      <w:pPr>
        <w:jc w:val="both"/>
        <w:rPr>
          <w:rFonts w:ascii="Times New Roman" w:eastAsia="Arial Unicode MS" w:hAnsi="Times New Roman" w:cs="Times New Roman"/>
          <w:sz w:val="24"/>
          <w:szCs w:val="24"/>
        </w:rPr>
      </w:pPr>
      <w:r w:rsidRPr="009B38E1">
        <w:rPr>
          <w:rFonts w:ascii="Times New Roman" w:eastAsia="Arial Unicode MS" w:hAnsi="Times New Roman" w:cs="Times New Roman"/>
          <w:sz w:val="24"/>
          <w:szCs w:val="24"/>
        </w:rPr>
        <w:t xml:space="preserve">Graphene is a strong, super elastic, conductive, and crystalline allotrope of carbon with 2- dimensional properties. It is used for gene and drug delivery, osteon and dental implants, tissue grafting (regenerative medicine), biosensing, bioimaging, photothermal </w:t>
      </w:r>
      <w:r w:rsidRPr="009B38E1">
        <w:rPr>
          <w:rFonts w:ascii="Times New Roman" w:hAnsi="Times New Roman" w:cs="Times New Roman"/>
          <w:sz w:val="24"/>
          <w:szCs w:val="24"/>
        </w:rPr>
        <w:t xml:space="preserve">therapies, </w:t>
      </w:r>
      <w:r w:rsidRPr="009B38E1">
        <w:rPr>
          <w:rFonts w:ascii="Times New Roman" w:eastAsia="Arial Unicode MS" w:hAnsi="Times New Roman" w:cs="Times New Roman"/>
          <w:sz w:val="24"/>
          <w:szCs w:val="24"/>
        </w:rPr>
        <w:t>etc. Due to its elevated use in human health services, it is mandatory to conduct toxicity studies specifically functional toxicity and genotoxicity. By keeping in mind, the toxic potential of graphene, a study was conducted to evaluate its genetic effects on the peripheral blood of albino mice.</w:t>
      </w:r>
      <w:r w:rsidRPr="009B38E1">
        <w:rPr>
          <w:rFonts w:ascii="Times New Roman" w:hAnsi="Times New Roman" w:cs="Times New Roman"/>
          <w:sz w:val="24"/>
          <w:szCs w:val="24"/>
        </w:rPr>
        <w:t xml:space="preserve"> For this purpose, randomly selected male albino mice</w:t>
      </w:r>
      <w:r w:rsidRPr="009B38E1">
        <w:rPr>
          <w:rFonts w:ascii="Times New Roman" w:eastAsia="Arial Unicode MS" w:hAnsi="Times New Roman" w:cs="Times New Roman"/>
          <w:sz w:val="24"/>
          <w:szCs w:val="24"/>
        </w:rPr>
        <w:t xml:space="preserve"> were divided into 4 groups (having the same individuals in each group). A control group (without dose) and three treatment groups (with low, medium and high dose based Lethal dose/body weight), the dose was administrated orally for 15  days. After treatment blood was drawn from one fourth mice from each group and subjected to comet assay. The remaining mice were given a recovery period of 15 days during this one-third of mice from each group were treated with L ascorbic acid (0.025mg /mice), one-third were given retinol (0.03mcg /mice), and the remaining one-third were not given any specific treatment. On the 16</w:t>
      </w:r>
      <w:r w:rsidRPr="009B38E1">
        <w:rPr>
          <w:rFonts w:ascii="Times New Roman" w:eastAsia="Arial Unicode MS" w:hAnsi="Times New Roman" w:cs="Times New Roman"/>
          <w:sz w:val="24"/>
          <w:szCs w:val="24"/>
          <w:vertAlign w:val="superscript"/>
        </w:rPr>
        <w:t>th -</w:t>
      </w:r>
      <w:r w:rsidRPr="009B38E1">
        <w:rPr>
          <w:rFonts w:ascii="Times New Roman" w:eastAsia="Arial Unicode MS" w:hAnsi="Times New Roman" w:cs="Times New Roman"/>
          <w:sz w:val="24"/>
          <w:szCs w:val="24"/>
        </w:rPr>
        <w:t xml:space="preserve">day blood was drawn and subjected to comet assay. Data were recorded in CASP software and analyzed by using one-way ANOVA in SPSS. Maximum damage was observed at the highest dose of graphene. After 15 days, L ascorbic acid repairs the DNA damage as compared to retinol and without any special treatment </w:t>
      </w:r>
    </w:p>
    <w:p w:rsidR="0099500A" w:rsidRDefault="0099500A" w:rsidP="006725BD">
      <w:pPr>
        <w:jc w:val="both"/>
        <w:rPr>
          <w:rFonts w:ascii="Times New Roman" w:eastAsia="Arial Unicode MS" w:hAnsi="Times New Roman" w:cs="Times New Roman"/>
          <w:sz w:val="24"/>
          <w:szCs w:val="24"/>
        </w:rPr>
      </w:pPr>
    </w:p>
    <w:p w:rsidR="0099500A" w:rsidRDefault="0099500A" w:rsidP="006725BD">
      <w:pPr>
        <w:jc w:val="both"/>
        <w:rPr>
          <w:rFonts w:ascii="Times New Roman" w:eastAsia="Arial Unicode MS" w:hAnsi="Times New Roman" w:cs="Times New Roman"/>
          <w:sz w:val="24"/>
          <w:szCs w:val="24"/>
        </w:rPr>
      </w:pPr>
    </w:p>
    <w:p w:rsidR="0099500A" w:rsidRDefault="0099500A" w:rsidP="006725BD">
      <w:pPr>
        <w:jc w:val="both"/>
        <w:rPr>
          <w:rFonts w:ascii="Times New Roman" w:eastAsia="Arial Unicode MS" w:hAnsi="Times New Roman" w:cs="Times New Roman"/>
          <w:sz w:val="24"/>
          <w:szCs w:val="24"/>
        </w:rPr>
      </w:pPr>
    </w:p>
    <w:p w:rsidR="0099500A" w:rsidRDefault="0099500A" w:rsidP="006725BD">
      <w:pPr>
        <w:jc w:val="both"/>
        <w:rPr>
          <w:rFonts w:ascii="Times New Roman" w:eastAsia="Arial Unicode MS" w:hAnsi="Times New Roman" w:cs="Times New Roman"/>
          <w:sz w:val="24"/>
          <w:szCs w:val="24"/>
        </w:rPr>
      </w:pPr>
    </w:p>
    <w:p w:rsidR="0099500A" w:rsidRDefault="0099500A" w:rsidP="006725BD">
      <w:pPr>
        <w:jc w:val="both"/>
        <w:rPr>
          <w:rFonts w:ascii="Times New Roman" w:eastAsia="Arial Unicode MS" w:hAnsi="Times New Roman" w:cs="Times New Roman"/>
          <w:sz w:val="24"/>
          <w:szCs w:val="24"/>
        </w:rPr>
      </w:pPr>
    </w:p>
    <w:p w:rsidR="0099500A" w:rsidRDefault="0099500A" w:rsidP="006725BD">
      <w:pPr>
        <w:jc w:val="both"/>
        <w:rPr>
          <w:rFonts w:ascii="Times New Roman" w:eastAsia="Arial Unicode MS" w:hAnsi="Times New Roman" w:cs="Times New Roman"/>
          <w:sz w:val="24"/>
          <w:szCs w:val="24"/>
        </w:rPr>
      </w:pPr>
    </w:p>
    <w:p w:rsidR="0099500A" w:rsidRDefault="0099500A" w:rsidP="006725BD">
      <w:pPr>
        <w:jc w:val="both"/>
        <w:rPr>
          <w:rFonts w:ascii="Times New Roman" w:eastAsia="Arial Unicode MS" w:hAnsi="Times New Roman" w:cs="Times New Roman"/>
          <w:sz w:val="24"/>
          <w:szCs w:val="24"/>
        </w:rPr>
      </w:pPr>
    </w:p>
    <w:p w:rsidR="0099500A" w:rsidRDefault="0099500A" w:rsidP="006725BD">
      <w:pPr>
        <w:jc w:val="both"/>
        <w:rPr>
          <w:rFonts w:ascii="Times New Roman" w:eastAsia="Arial Unicode MS" w:hAnsi="Times New Roman" w:cs="Times New Roman"/>
          <w:sz w:val="24"/>
          <w:szCs w:val="24"/>
        </w:rPr>
      </w:pPr>
    </w:p>
    <w:p w:rsidR="0099500A" w:rsidRDefault="0099500A" w:rsidP="006725BD">
      <w:pPr>
        <w:jc w:val="both"/>
        <w:rPr>
          <w:rFonts w:ascii="Times New Roman" w:eastAsia="Arial Unicode MS" w:hAnsi="Times New Roman" w:cs="Times New Roman"/>
          <w:sz w:val="24"/>
          <w:szCs w:val="24"/>
        </w:rPr>
      </w:pPr>
    </w:p>
    <w:p w:rsidR="0099500A" w:rsidRDefault="0099500A" w:rsidP="006725BD">
      <w:pPr>
        <w:jc w:val="both"/>
        <w:rPr>
          <w:rFonts w:ascii="Times New Roman" w:eastAsia="Arial Unicode MS" w:hAnsi="Times New Roman" w:cs="Times New Roman"/>
          <w:sz w:val="24"/>
          <w:szCs w:val="24"/>
        </w:rPr>
      </w:pPr>
    </w:p>
    <w:p w:rsidR="0099500A" w:rsidRDefault="0099500A" w:rsidP="006725BD">
      <w:pPr>
        <w:jc w:val="both"/>
        <w:rPr>
          <w:rFonts w:ascii="Times New Roman" w:eastAsia="Arial Unicode MS" w:hAnsi="Times New Roman" w:cs="Times New Roman"/>
          <w:sz w:val="24"/>
          <w:szCs w:val="24"/>
        </w:rPr>
      </w:pPr>
    </w:p>
    <w:p w:rsidR="0099500A" w:rsidRDefault="0099500A" w:rsidP="006725BD">
      <w:pPr>
        <w:jc w:val="both"/>
        <w:rPr>
          <w:rFonts w:ascii="Times New Roman" w:eastAsia="Arial Unicode MS" w:hAnsi="Times New Roman" w:cs="Times New Roman"/>
          <w:sz w:val="24"/>
          <w:szCs w:val="24"/>
        </w:rPr>
      </w:pPr>
    </w:p>
    <w:p w:rsidR="006725BD" w:rsidRPr="009B38E1" w:rsidRDefault="006725BD" w:rsidP="006725BD">
      <w:pPr>
        <w:jc w:val="both"/>
        <w:rPr>
          <w:rFonts w:ascii="Times New Roman" w:eastAsia="Arial Unicode MS" w:hAnsi="Times New Roman" w:cs="Times New Roman"/>
          <w:sz w:val="24"/>
          <w:szCs w:val="24"/>
        </w:rPr>
      </w:pPr>
      <w:r w:rsidRPr="009B38E1">
        <w:rPr>
          <w:rFonts w:ascii="Times New Roman" w:eastAsia="Arial Unicode MS" w:hAnsi="Times New Roman" w:cs="Times New Roman"/>
          <w:sz w:val="24"/>
          <w:szCs w:val="24"/>
        </w:rPr>
        <w:t>groups. It can be concluded that short-term oral exposure to graphene is capable of causing genotoxicity that can be repaired if exposure is ceased and some nutritional supplements if added.</w:t>
      </w:r>
    </w:p>
    <w:p w:rsidR="006725BD" w:rsidRDefault="006725BD" w:rsidP="006725BD">
      <w:pPr>
        <w:jc w:val="both"/>
        <w:rPr>
          <w:rFonts w:ascii="Times New Roman" w:eastAsia="Arial Unicode MS" w:hAnsi="Times New Roman" w:cs="Times New Roman"/>
          <w:sz w:val="24"/>
          <w:szCs w:val="24"/>
        </w:rPr>
      </w:pPr>
      <w:r w:rsidRPr="009B38E1">
        <w:rPr>
          <w:rFonts w:ascii="Times New Roman" w:eastAsia="Arial Unicode MS" w:hAnsi="Times New Roman" w:cs="Times New Roman"/>
          <w:b/>
          <w:bCs/>
          <w:sz w:val="24"/>
          <w:szCs w:val="24"/>
        </w:rPr>
        <w:t>Keywords:</w:t>
      </w:r>
      <w:r w:rsidRPr="009B38E1">
        <w:rPr>
          <w:rFonts w:ascii="Times New Roman" w:eastAsia="Arial Unicode MS" w:hAnsi="Times New Roman" w:cs="Times New Roman"/>
          <w:sz w:val="24"/>
          <w:szCs w:val="24"/>
        </w:rPr>
        <w:t xml:space="preserve"> Graphene, Comet Assay, Repair capability, DNA damage</w:t>
      </w:r>
    </w:p>
    <w:p w:rsidR="00B213CA" w:rsidRDefault="00B213CA" w:rsidP="006725BD">
      <w:pPr>
        <w:jc w:val="both"/>
        <w:rPr>
          <w:rFonts w:ascii="Times New Roman" w:eastAsia="Arial Unicode MS" w:hAnsi="Times New Roman" w:cs="Times New Roman"/>
          <w:sz w:val="24"/>
          <w:szCs w:val="24"/>
        </w:rPr>
      </w:pPr>
    </w:p>
    <w:p w:rsidR="00B213CA" w:rsidRPr="00B213CA" w:rsidRDefault="00B213CA" w:rsidP="006725BD">
      <w:pPr>
        <w:jc w:val="both"/>
        <w:rPr>
          <w:rFonts w:ascii="Times New Roman" w:eastAsia="Arial Unicode MS" w:hAnsi="Times New Roman" w:cs="Times New Roman"/>
          <w:color w:val="E36C0A" w:themeColor="accent6" w:themeShade="BF"/>
          <w:sz w:val="24"/>
          <w:szCs w:val="24"/>
        </w:rPr>
      </w:pPr>
      <w:r w:rsidRPr="00B213CA">
        <w:rPr>
          <w:rFonts w:ascii="Times New Roman" w:eastAsia="Arial Unicode MS" w:hAnsi="Times New Roman" w:cs="Times New Roman"/>
          <w:color w:val="E36C0A" w:themeColor="accent6" w:themeShade="BF"/>
          <w:sz w:val="24"/>
          <w:szCs w:val="24"/>
        </w:rPr>
        <w:t>Recent Publications</w:t>
      </w:r>
    </w:p>
    <w:p w:rsidR="006725BD" w:rsidRPr="00212A3B" w:rsidRDefault="006725BD" w:rsidP="006725BD">
      <w:pPr>
        <w:jc w:val="both"/>
        <w:rPr>
          <w:rFonts w:ascii="Times New Roman" w:eastAsia="Arial Unicode MS" w:hAnsi="Times New Roman" w:cs="Times New Roman"/>
          <w:color w:val="943634" w:themeColor="accent2" w:themeShade="BF"/>
          <w:sz w:val="24"/>
          <w:szCs w:val="24"/>
        </w:rPr>
      </w:pPr>
    </w:p>
    <w:p w:rsidR="006725BD" w:rsidRPr="00982311" w:rsidRDefault="006725BD" w:rsidP="006725BD">
      <w:pPr>
        <w:pStyle w:val="ListParagraph"/>
        <w:widowControl/>
        <w:numPr>
          <w:ilvl w:val="0"/>
          <w:numId w:val="4"/>
        </w:numPr>
        <w:autoSpaceDE w:val="0"/>
        <w:autoSpaceDN w:val="0"/>
        <w:adjustRightInd w:val="0"/>
        <w:spacing w:before="120" w:after="120" w:line="276" w:lineRule="auto"/>
        <w:contextualSpacing/>
        <w:rPr>
          <w:rStyle w:val="cit-pagerange"/>
          <w:rFonts w:asciiTheme="majorHAnsi" w:hAnsiTheme="majorHAnsi"/>
          <w:bCs/>
          <w:iCs/>
          <w:sz w:val="18"/>
          <w:szCs w:val="18"/>
        </w:rPr>
      </w:pPr>
      <w:bookmarkStart w:id="0" w:name="_Hlk126796627"/>
      <w:r w:rsidRPr="00982311">
        <w:rPr>
          <w:rFonts w:asciiTheme="majorHAnsi" w:hAnsiTheme="majorHAnsi"/>
          <w:bCs/>
          <w:iCs/>
          <w:sz w:val="18"/>
          <w:szCs w:val="18"/>
        </w:rPr>
        <w:t xml:space="preserve">Samina Anwar, Abdul Qadeer </w:t>
      </w:r>
      <w:proofErr w:type="spellStart"/>
      <w:r w:rsidRPr="00982311">
        <w:rPr>
          <w:rFonts w:asciiTheme="majorHAnsi" w:hAnsiTheme="majorHAnsi"/>
          <w:bCs/>
          <w:iCs/>
          <w:sz w:val="18"/>
          <w:szCs w:val="18"/>
        </w:rPr>
        <w:t>Wahla</w:t>
      </w:r>
      <w:proofErr w:type="spellEnd"/>
      <w:r w:rsidRPr="00982311">
        <w:rPr>
          <w:rFonts w:asciiTheme="majorHAnsi" w:hAnsiTheme="majorHAnsi"/>
          <w:bCs/>
          <w:iCs/>
          <w:sz w:val="18"/>
          <w:szCs w:val="18"/>
        </w:rPr>
        <w:t xml:space="preserve">, Tayyaba Ali, </w:t>
      </w:r>
      <w:proofErr w:type="spellStart"/>
      <w:r w:rsidRPr="00982311">
        <w:rPr>
          <w:rFonts w:asciiTheme="majorHAnsi" w:hAnsiTheme="majorHAnsi"/>
          <w:bCs/>
          <w:iCs/>
          <w:sz w:val="18"/>
          <w:szCs w:val="18"/>
        </w:rPr>
        <w:t>Shazia</w:t>
      </w:r>
      <w:proofErr w:type="spellEnd"/>
      <w:r w:rsidRPr="00982311">
        <w:rPr>
          <w:rFonts w:asciiTheme="majorHAnsi" w:hAnsiTheme="majorHAnsi"/>
          <w:bCs/>
          <w:iCs/>
          <w:sz w:val="18"/>
          <w:szCs w:val="18"/>
        </w:rPr>
        <w:t xml:space="preserve"> Khaliq, Asma Imran, </w:t>
      </w:r>
      <w:r w:rsidRPr="00982311">
        <w:rPr>
          <w:rFonts w:asciiTheme="majorHAnsi" w:hAnsiTheme="majorHAnsi" w:cs="Times New Roman"/>
          <w:bCs/>
          <w:iCs/>
          <w:sz w:val="18"/>
          <w:szCs w:val="18"/>
        </w:rPr>
        <w:t>Muhammad Afzal, and Samina Iqbal 2022.Biodegradation and Subsequent Toxicity Reduction of Co-</w:t>
      </w:r>
      <w:r w:rsidRPr="00982311">
        <w:rPr>
          <w:rFonts w:asciiTheme="majorHAnsi" w:hAnsiTheme="majorHAnsi"/>
          <w:bCs/>
          <w:iCs/>
          <w:sz w:val="18"/>
          <w:szCs w:val="18"/>
        </w:rPr>
        <w:t xml:space="preserve">contaminants </w:t>
      </w:r>
      <w:proofErr w:type="spellStart"/>
      <w:r w:rsidRPr="00982311">
        <w:rPr>
          <w:rFonts w:asciiTheme="majorHAnsi" w:hAnsiTheme="majorHAnsi"/>
          <w:bCs/>
          <w:iCs/>
          <w:sz w:val="18"/>
          <w:szCs w:val="18"/>
        </w:rPr>
        <w:t>Tribenuron</w:t>
      </w:r>
      <w:proofErr w:type="spellEnd"/>
      <w:r w:rsidRPr="00982311">
        <w:rPr>
          <w:rFonts w:asciiTheme="majorHAnsi" w:hAnsiTheme="majorHAnsi"/>
          <w:bCs/>
          <w:iCs/>
          <w:sz w:val="18"/>
          <w:szCs w:val="18"/>
        </w:rPr>
        <w:t xml:space="preserve"> Methyl and </w:t>
      </w:r>
      <w:proofErr w:type="spellStart"/>
      <w:r w:rsidRPr="00982311">
        <w:rPr>
          <w:rFonts w:asciiTheme="majorHAnsi" w:hAnsiTheme="majorHAnsi"/>
          <w:bCs/>
          <w:iCs/>
          <w:sz w:val="18"/>
          <w:szCs w:val="18"/>
        </w:rPr>
        <w:t>Metsulfuron</w:t>
      </w:r>
      <w:proofErr w:type="spellEnd"/>
      <w:r w:rsidRPr="00982311">
        <w:rPr>
          <w:rFonts w:asciiTheme="majorHAnsi" w:hAnsiTheme="majorHAnsi"/>
          <w:bCs/>
          <w:iCs/>
          <w:sz w:val="18"/>
          <w:szCs w:val="18"/>
        </w:rPr>
        <w:t xml:space="preserve"> Methyl by Bacterial Consortium B2R. ACS </w:t>
      </w:r>
      <w:proofErr w:type="gramStart"/>
      <w:r w:rsidRPr="00982311">
        <w:rPr>
          <w:rFonts w:asciiTheme="majorHAnsi" w:hAnsiTheme="majorHAnsi"/>
          <w:bCs/>
          <w:iCs/>
          <w:sz w:val="18"/>
          <w:szCs w:val="18"/>
        </w:rPr>
        <w:t xml:space="preserve">Omega </w:t>
      </w:r>
      <w:r w:rsidRPr="00982311">
        <w:rPr>
          <w:rStyle w:val="Hyperlink"/>
          <w:rFonts w:asciiTheme="majorHAnsi" w:eastAsia="Arial" w:hAnsiTheme="majorHAnsi" w:cs="Times New Roman"/>
          <w:iCs/>
          <w:color w:val="000000"/>
          <w:sz w:val="18"/>
          <w:szCs w:val="18"/>
          <w:shd w:val="clear" w:color="auto" w:fill="FFFFFF"/>
        </w:rPr>
        <w:t xml:space="preserve"> </w:t>
      </w:r>
      <w:r w:rsidRPr="00982311">
        <w:rPr>
          <w:rStyle w:val="cit-volume"/>
          <w:rFonts w:asciiTheme="majorHAnsi" w:hAnsiTheme="majorHAnsi" w:cs="Times New Roman"/>
          <w:iCs/>
          <w:color w:val="000000"/>
          <w:sz w:val="18"/>
          <w:szCs w:val="18"/>
          <w:shd w:val="clear" w:color="auto" w:fill="FFFFFF"/>
        </w:rPr>
        <w:t>7</w:t>
      </w:r>
      <w:proofErr w:type="gramEnd"/>
      <w:r w:rsidRPr="00982311">
        <w:rPr>
          <w:rStyle w:val="cit-issue"/>
          <w:rFonts w:asciiTheme="majorHAnsi" w:eastAsia="Tw Cen MT" w:hAnsiTheme="majorHAnsi" w:cs="Times New Roman"/>
          <w:iCs/>
          <w:color w:val="000000"/>
          <w:sz w:val="18"/>
          <w:szCs w:val="18"/>
          <w:shd w:val="clear" w:color="auto" w:fill="FFFFFF"/>
        </w:rPr>
        <w:t>, 23</w:t>
      </w:r>
      <w:r w:rsidRPr="00982311">
        <w:rPr>
          <w:rStyle w:val="cit-pagerange"/>
          <w:rFonts w:asciiTheme="majorHAnsi" w:hAnsiTheme="majorHAnsi" w:cs="Times New Roman"/>
          <w:iCs/>
          <w:color w:val="000000"/>
          <w:sz w:val="18"/>
          <w:szCs w:val="18"/>
          <w:shd w:val="clear" w:color="auto" w:fill="FFFFFF"/>
        </w:rPr>
        <w:t>, 19816–1982</w:t>
      </w:r>
    </w:p>
    <w:p w:rsidR="006725BD" w:rsidRPr="00982311" w:rsidRDefault="006725BD" w:rsidP="006725BD">
      <w:pPr>
        <w:pStyle w:val="ListParagraph"/>
        <w:widowControl/>
        <w:numPr>
          <w:ilvl w:val="0"/>
          <w:numId w:val="4"/>
        </w:numPr>
        <w:autoSpaceDE w:val="0"/>
        <w:autoSpaceDN w:val="0"/>
        <w:adjustRightInd w:val="0"/>
        <w:spacing w:before="120" w:after="120" w:line="240" w:lineRule="auto"/>
        <w:rPr>
          <w:rFonts w:asciiTheme="majorHAnsi" w:hAnsiTheme="majorHAnsi"/>
          <w:bCs/>
          <w:sz w:val="18"/>
          <w:szCs w:val="18"/>
        </w:rPr>
      </w:pPr>
      <w:r w:rsidRPr="00982311">
        <w:rPr>
          <w:rFonts w:asciiTheme="majorHAnsi" w:hAnsiTheme="majorHAnsi"/>
          <w:b/>
          <w:sz w:val="18"/>
          <w:szCs w:val="18"/>
        </w:rPr>
        <w:t>Ali T</w:t>
      </w:r>
      <w:r w:rsidRPr="00982311">
        <w:rPr>
          <w:rFonts w:asciiTheme="majorHAnsi" w:hAnsiTheme="majorHAnsi"/>
          <w:sz w:val="18"/>
          <w:szCs w:val="18"/>
        </w:rPr>
        <w:t xml:space="preserve">, Rafique M, </w:t>
      </w:r>
      <w:proofErr w:type="spellStart"/>
      <w:r w:rsidRPr="00982311">
        <w:rPr>
          <w:rFonts w:asciiTheme="majorHAnsi" w:hAnsiTheme="majorHAnsi"/>
          <w:sz w:val="18"/>
          <w:szCs w:val="18"/>
        </w:rPr>
        <w:t>Asad</w:t>
      </w:r>
      <w:proofErr w:type="spellEnd"/>
      <w:r w:rsidRPr="00982311">
        <w:rPr>
          <w:rFonts w:asciiTheme="majorHAnsi" w:hAnsiTheme="majorHAnsi"/>
          <w:sz w:val="18"/>
          <w:szCs w:val="18"/>
        </w:rPr>
        <w:t xml:space="preserve"> F, Samee Mubarak &amp;</w:t>
      </w:r>
      <w:proofErr w:type="spellStart"/>
      <w:r w:rsidRPr="00982311">
        <w:rPr>
          <w:rFonts w:asciiTheme="majorHAnsi" w:hAnsiTheme="majorHAnsi"/>
          <w:sz w:val="18"/>
          <w:szCs w:val="18"/>
        </w:rPr>
        <w:t>SaminaQamar</w:t>
      </w:r>
      <w:proofErr w:type="spellEnd"/>
      <w:r w:rsidRPr="00982311">
        <w:rPr>
          <w:rFonts w:asciiTheme="majorHAnsi" w:hAnsiTheme="majorHAnsi"/>
          <w:sz w:val="18"/>
          <w:szCs w:val="18"/>
        </w:rPr>
        <w:t>. 2020.</w:t>
      </w:r>
      <w:r w:rsidRPr="00982311">
        <w:rPr>
          <w:rFonts w:asciiTheme="majorHAnsi" w:eastAsia="Arial Unicode MS" w:hAnsiTheme="majorHAnsi"/>
          <w:sz w:val="18"/>
          <w:szCs w:val="18"/>
        </w:rPr>
        <w:t xml:space="preserve">Genotoxicity and repair capability of </w:t>
      </w:r>
      <w:proofErr w:type="spellStart"/>
      <w:r w:rsidRPr="00982311">
        <w:rPr>
          <w:rFonts w:asciiTheme="majorHAnsi" w:eastAsia="Arial Unicode MS" w:hAnsiTheme="majorHAnsi"/>
          <w:i/>
          <w:sz w:val="18"/>
          <w:szCs w:val="18"/>
        </w:rPr>
        <w:t>Musmusculus</w:t>
      </w:r>
      <w:r w:rsidRPr="00982311">
        <w:rPr>
          <w:rFonts w:asciiTheme="majorHAnsi" w:eastAsia="Arial Unicode MS" w:hAnsiTheme="majorHAnsi"/>
          <w:sz w:val="18"/>
          <w:szCs w:val="18"/>
        </w:rPr>
        <w:t>DNA</w:t>
      </w:r>
      <w:proofErr w:type="spellEnd"/>
      <w:r w:rsidRPr="00982311">
        <w:rPr>
          <w:rFonts w:asciiTheme="majorHAnsi" w:eastAsia="Arial Unicode MS" w:hAnsiTheme="majorHAnsi"/>
          <w:sz w:val="18"/>
          <w:szCs w:val="18"/>
        </w:rPr>
        <w:t xml:space="preserve"> after the oral exposure to Tramadol. Saudi Journal of Biological Sciences. 27(1)12-17.</w:t>
      </w:r>
    </w:p>
    <w:p w:rsidR="006725BD" w:rsidRPr="00982311" w:rsidRDefault="006725BD" w:rsidP="006725BD">
      <w:pPr>
        <w:pStyle w:val="ListParagraph"/>
        <w:widowControl/>
        <w:numPr>
          <w:ilvl w:val="0"/>
          <w:numId w:val="4"/>
        </w:numPr>
        <w:autoSpaceDE w:val="0"/>
        <w:autoSpaceDN w:val="0"/>
        <w:adjustRightInd w:val="0"/>
        <w:spacing w:before="120" w:after="120" w:line="240" w:lineRule="auto"/>
        <w:rPr>
          <w:rFonts w:asciiTheme="majorHAnsi" w:hAnsiTheme="majorHAnsi"/>
          <w:bCs/>
          <w:sz w:val="18"/>
          <w:szCs w:val="18"/>
        </w:rPr>
      </w:pPr>
      <w:r w:rsidRPr="00982311">
        <w:rPr>
          <w:rFonts w:asciiTheme="majorHAnsi" w:hAnsiTheme="majorHAnsi"/>
          <w:b/>
          <w:bCs/>
          <w:iCs/>
          <w:sz w:val="18"/>
          <w:szCs w:val="18"/>
        </w:rPr>
        <w:t>Ali T</w:t>
      </w:r>
      <w:r w:rsidRPr="00982311">
        <w:rPr>
          <w:rFonts w:asciiTheme="majorHAnsi" w:hAnsiTheme="majorHAnsi"/>
          <w:bCs/>
          <w:iCs/>
          <w:sz w:val="18"/>
          <w:szCs w:val="18"/>
        </w:rPr>
        <w:t xml:space="preserve">, Ismail M, </w:t>
      </w:r>
      <w:proofErr w:type="spellStart"/>
      <w:r w:rsidRPr="00982311">
        <w:rPr>
          <w:rFonts w:asciiTheme="majorHAnsi" w:hAnsiTheme="majorHAnsi"/>
          <w:bCs/>
          <w:iCs/>
          <w:sz w:val="18"/>
          <w:szCs w:val="18"/>
        </w:rPr>
        <w:t>Asad</w:t>
      </w:r>
      <w:proofErr w:type="spellEnd"/>
      <w:r w:rsidRPr="00982311">
        <w:rPr>
          <w:rFonts w:asciiTheme="majorHAnsi" w:hAnsiTheme="majorHAnsi"/>
          <w:bCs/>
          <w:iCs/>
          <w:sz w:val="18"/>
          <w:szCs w:val="18"/>
        </w:rPr>
        <w:t xml:space="preserve"> F, Ashraf A, </w:t>
      </w:r>
      <w:proofErr w:type="spellStart"/>
      <w:r w:rsidRPr="00982311">
        <w:rPr>
          <w:rFonts w:asciiTheme="majorHAnsi" w:hAnsiTheme="majorHAnsi"/>
          <w:bCs/>
          <w:iCs/>
          <w:sz w:val="18"/>
          <w:szCs w:val="18"/>
        </w:rPr>
        <w:t>Waheed</w:t>
      </w:r>
      <w:proofErr w:type="spellEnd"/>
      <w:r w:rsidRPr="00982311">
        <w:rPr>
          <w:rFonts w:asciiTheme="majorHAnsi" w:hAnsiTheme="majorHAnsi"/>
          <w:bCs/>
          <w:iCs/>
          <w:sz w:val="18"/>
          <w:szCs w:val="18"/>
        </w:rPr>
        <w:t xml:space="preserve"> U, Khan QM. 2019. </w:t>
      </w:r>
      <w:r w:rsidRPr="00982311">
        <w:rPr>
          <w:rFonts w:asciiTheme="majorHAnsi" w:hAnsiTheme="majorHAnsi"/>
          <w:bCs/>
          <w:sz w:val="18"/>
          <w:szCs w:val="18"/>
        </w:rPr>
        <w:t>Pesticide Genotoxicity in Cotton Picking Women in Pakistan Evaluated using Comet Assay. Drug and Chemical Toxicology,41(2):213-220</w:t>
      </w:r>
      <w:r w:rsidRPr="00982311">
        <w:rPr>
          <w:rFonts w:asciiTheme="majorHAnsi" w:hAnsiTheme="majorHAnsi"/>
          <w:bCs/>
          <w:iCs/>
          <w:sz w:val="18"/>
          <w:szCs w:val="18"/>
        </w:rPr>
        <w:t>.</w:t>
      </w:r>
    </w:p>
    <w:p w:rsidR="006725BD" w:rsidRPr="00982311" w:rsidRDefault="006725BD" w:rsidP="006725BD">
      <w:pPr>
        <w:pStyle w:val="ListParagraph"/>
        <w:widowControl/>
        <w:numPr>
          <w:ilvl w:val="0"/>
          <w:numId w:val="4"/>
        </w:numPr>
        <w:autoSpaceDE w:val="0"/>
        <w:autoSpaceDN w:val="0"/>
        <w:adjustRightInd w:val="0"/>
        <w:spacing w:before="120" w:after="120" w:line="276" w:lineRule="auto"/>
        <w:rPr>
          <w:rFonts w:asciiTheme="majorHAnsi" w:hAnsiTheme="majorHAnsi"/>
          <w:sz w:val="18"/>
          <w:szCs w:val="18"/>
        </w:rPr>
      </w:pPr>
      <w:r w:rsidRPr="00982311">
        <w:rPr>
          <w:rFonts w:asciiTheme="majorHAnsi" w:hAnsiTheme="majorHAnsi"/>
          <w:sz w:val="18"/>
          <w:szCs w:val="18"/>
        </w:rPr>
        <w:t xml:space="preserve">Ismail M, Rahat A, </w:t>
      </w:r>
      <w:r w:rsidRPr="00982311">
        <w:rPr>
          <w:rFonts w:asciiTheme="majorHAnsi" w:hAnsiTheme="majorHAnsi"/>
          <w:b/>
          <w:sz w:val="18"/>
          <w:szCs w:val="18"/>
        </w:rPr>
        <w:t>Tayyaba Ali</w:t>
      </w:r>
      <w:r w:rsidRPr="00982311">
        <w:rPr>
          <w:rFonts w:asciiTheme="majorHAnsi" w:hAnsiTheme="majorHAnsi"/>
          <w:sz w:val="18"/>
          <w:szCs w:val="18"/>
        </w:rPr>
        <w:t>, Ameena</w:t>
      </w:r>
      <w:r w:rsidR="00BD233C" w:rsidRPr="00982311">
        <w:rPr>
          <w:rFonts w:asciiTheme="majorHAnsi" w:hAnsiTheme="majorHAnsi"/>
          <w:sz w:val="18"/>
          <w:szCs w:val="18"/>
        </w:rPr>
        <w:t xml:space="preserve"> </w:t>
      </w:r>
      <w:proofErr w:type="spellStart"/>
      <w:r w:rsidRPr="00982311">
        <w:rPr>
          <w:rFonts w:asciiTheme="majorHAnsi" w:hAnsiTheme="majorHAnsi"/>
          <w:sz w:val="18"/>
          <w:szCs w:val="18"/>
        </w:rPr>
        <w:t>Mobeen</w:t>
      </w:r>
      <w:proofErr w:type="spellEnd"/>
      <w:r w:rsidRPr="00982311">
        <w:rPr>
          <w:rFonts w:asciiTheme="majorHAnsi" w:hAnsiTheme="majorHAnsi"/>
          <w:sz w:val="18"/>
          <w:szCs w:val="18"/>
        </w:rPr>
        <w:t xml:space="preserve">, </w:t>
      </w:r>
      <w:proofErr w:type="spellStart"/>
      <w:r w:rsidRPr="00982311">
        <w:rPr>
          <w:rFonts w:asciiTheme="majorHAnsi" w:hAnsiTheme="majorHAnsi"/>
          <w:sz w:val="18"/>
          <w:szCs w:val="18"/>
        </w:rPr>
        <w:t>Qaiser</w:t>
      </w:r>
      <w:proofErr w:type="spellEnd"/>
      <w:r w:rsidR="00BD233C" w:rsidRPr="00982311">
        <w:rPr>
          <w:rFonts w:asciiTheme="majorHAnsi" w:hAnsiTheme="majorHAnsi"/>
          <w:sz w:val="18"/>
          <w:szCs w:val="18"/>
        </w:rPr>
        <w:t xml:space="preserve"> </w:t>
      </w:r>
      <w:r w:rsidRPr="00982311">
        <w:rPr>
          <w:rFonts w:asciiTheme="majorHAnsi" w:hAnsiTheme="majorHAnsi"/>
          <w:sz w:val="18"/>
          <w:szCs w:val="18"/>
        </w:rPr>
        <w:t xml:space="preserve">Mahmood Khan. 2014. Genotoxicity of </w:t>
      </w:r>
      <w:proofErr w:type="spellStart"/>
      <w:r w:rsidRPr="00982311">
        <w:rPr>
          <w:rFonts w:asciiTheme="majorHAnsi" w:hAnsiTheme="majorHAnsi"/>
          <w:sz w:val="18"/>
          <w:szCs w:val="18"/>
        </w:rPr>
        <w:t>chloropyrifos</w:t>
      </w:r>
      <w:proofErr w:type="spellEnd"/>
      <w:r w:rsidRPr="00982311">
        <w:rPr>
          <w:rFonts w:asciiTheme="majorHAnsi" w:hAnsiTheme="majorHAnsi"/>
          <w:sz w:val="18"/>
          <w:szCs w:val="18"/>
        </w:rPr>
        <w:t xml:space="preserve"> in fresh water fish </w:t>
      </w:r>
      <w:proofErr w:type="spellStart"/>
      <w:r w:rsidRPr="00982311">
        <w:rPr>
          <w:rFonts w:asciiTheme="majorHAnsi" w:hAnsiTheme="majorHAnsi"/>
          <w:i/>
          <w:sz w:val="18"/>
          <w:szCs w:val="18"/>
        </w:rPr>
        <w:t>Labeorohita</w:t>
      </w:r>
      <w:proofErr w:type="spellEnd"/>
      <w:r w:rsidRPr="00982311">
        <w:rPr>
          <w:rFonts w:asciiTheme="majorHAnsi" w:hAnsiTheme="majorHAnsi"/>
          <w:sz w:val="18"/>
          <w:szCs w:val="18"/>
        </w:rPr>
        <w:t xml:space="preserve"> using alkaline single cell gel </w:t>
      </w:r>
      <w:proofErr w:type="spellStart"/>
      <w:r w:rsidRPr="00982311">
        <w:rPr>
          <w:rFonts w:asciiTheme="majorHAnsi" w:hAnsiTheme="majorHAnsi"/>
          <w:sz w:val="18"/>
          <w:szCs w:val="18"/>
        </w:rPr>
        <w:t>electrophorssis</w:t>
      </w:r>
      <w:proofErr w:type="spellEnd"/>
      <w:r w:rsidRPr="00982311">
        <w:rPr>
          <w:rFonts w:asciiTheme="majorHAnsi" w:hAnsiTheme="majorHAnsi"/>
          <w:sz w:val="18"/>
          <w:szCs w:val="18"/>
        </w:rPr>
        <w:t xml:space="preserve"> (Comet) assay. Drug and Chemical Toxicology. 37(4):466-71. </w:t>
      </w:r>
    </w:p>
    <w:p w:rsidR="006725BD" w:rsidRPr="00883BAE" w:rsidRDefault="006725BD" w:rsidP="006725BD">
      <w:pPr>
        <w:pStyle w:val="ListParagraph"/>
        <w:widowControl/>
        <w:numPr>
          <w:ilvl w:val="0"/>
          <w:numId w:val="4"/>
        </w:numPr>
        <w:autoSpaceDE w:val="0"/>
        <w:autoSpaceDN w:val="0"/>
        <w:adjustRightInd w:val="0"/>
        <w:spacing w:before="120" w:after="120" w:line="240" w:lineRule="auto"/>
        <w:rPr>
          <w:rFonts w:ascii="Times New Roman" w:hAnsi="Times New Roman"/>
          <w:sz w:val="20"/>
          <w:szCs w:val="20"/>
        </w:rPr>
      </w:pPr>
      <w:r w:rsidRPr="00982311">
        <w:rPr>
          <w:rFonts w:asciiTheme="majorHAnsi" w:hAnsiTheme="majorHAnsi"/>
          <w:sz w:val="18"/>
          <w:szCs w:val="18"/>
        </w:rPr>
        <w:t xml:space="preserve">Ali R, Guo X, Lin H, Khan QM, </w:t>
      </w:r>
      <w:r w:rsidRPr="00982311">
        <w:rPr>
          <w:rStyle w:val="il"/>
          <w:rFonts w:asciiTheme="majorHAnsi" w:hAnsiTheme="majorHAnsi"/>
          <w:bCs/>
          <w:sz w:val="18"/>
          <w:szCs w:val="18"/>
        </w:rPr>
        <w:t>Ismail</w:t>
      </w:r>
      <w:r w:rsidRPr="00982311">
        <w:rPr>
          <w:rFonts w:asciiTheme="majorHAnsi" w:hAnsiTheme="majorHAnsi"/>
          <w:bCs/>
          <w:sz w:val="18"/>
          <w:szCs w:val="18"/>
        </w:rPr>
        <w:t xml:space="preserve"> M</w:t>
      </w:r>
      <w:r w:rsidRPr="00982311">
        <w:rPr>
          <w:rFonts w:asciiTheme="majorHAnsi" w:hAnsiTheme="majorHAnsi"/>
          <w:sz w:val="18"/>
          <w:szCs w:val="18"/>
        </w:rPr>
        <w:t xml:space="preserve">, </w:t>
      </w:r>
      <w:proofErr w:type="spellStart"/>
      <w:r w:rsidRPr="00982311">
        <w:rPr>
          <w:rFonts w:asciiTheme="majorHAnsi" w:hAnsiTheme="majorHAnsi"/>
          <w:sz w:val="18"/>
          <w:szCs w:val="18"/>
        </w:rPr>
        <w:t>Waheed</w:t>
      </w:r>
      <w:proofErr w:type="spellEnd"/>
      <w:r w:rsidRPr="00982311">
        <w:rPr>
          <w:rFonts w:asciiTheme="majorHAnsi" w:hAnsiTheme="majorHAnsi"/>
          <w:sz w:val="18"/>
          <w:szCs w:val="18"/>
        </w:rPr>
        <w:t xml:space="preserve"> U, </w:t>
      </w:r>
      <w:r w:rsidRPr="00982311">
        <w:rPr>
          <w:rFonts w:asciiTheme="majorHAnsi" w:hAnsiTheme="majorHAnsi"/>
          <w:b/>
          <w:sz w:val="18"/>
          <w:szCs w:val="18"/>
        </w:rPr>
        <w:t>Ali T</w:t>
      </w:r>
      <w:r w:rsidRPr="00982311">
        <w:rPr>
          <w:rFonts w:asciiTheme="majorHAnsi" w:hAnsiTheme="majorHAnsi"/>
          <w:sz w:val="18"/>
          <w:szCs w:val="18"/>
        </w:rPr>
        <w:t xml:space="preserve">, </w:t>
      </w:r>
      <w:proofErr w:type="spellStart"/>
      <w:r w:rsidRPr="00982311">
        <w:rPr>
          <w:rFonts w:asciiTheme="majorHAnsi" w:hAnsiTheme="majorHAnsi"/>
          <w:sz w:val="18"/>
          <w:szCs w:val="18"/>
        </w:rPr>
        <w:t>Bhalli</w:t>
      </w:r>
      <w:proofErr w:type="spellEnd"/>
      <w:r w:rsidRPr="00982311">
        <w:rPr>
          <w:rFonts w:asciiTheme="majorHAnsi" w:hAnsiTheme="majorHAnsi"/>
          <w:sz w:val="18"/>
          <w:szCs w:val="18"/>
        </w:rPr>
        <w:t xml:space="preserve"> JA. (2014). Mutant frequency in comparison to oxidative DNA damage induced by Ochratoxin A in L5178Y </w:t>
      </w:r>
      <w:proofErr w:type="spellStart"/>
      <w:r w:rsidRPr="00982311">
        <w:rPr>
          <w:rFonts w:asciiTheme="majorHAnsi" w:hAnsiTheme="majorHAnsi"/>
          <w:sz w:val="18"/>
          <w:szCs w:val="18"/>
        </w:rPr>
        <w:t>tk</w:t>
      </w:r>
      <w:proofErr w:type="spellEnd"/>
      <w:r w:rsidRPr="00982311">
        <w:rPr>
          <w:rFonts w:asciiTheme="majorHAnsi" w:hAnsiTheme="majorHAnsi"/>
          <w:sz w:val="18"/>
          <w:szCs w:val="18"/>
        </w:rPr>
        <w:t>+/-(3.7.2C) mouse lymphoma cells. Drug Chem Toxicology. 37 (2): 227-232</w:t>
      </w:r>
      <w:bookmarkEnd w:id="0"/>
      <w:r w:rsidRPr="00982311">
        <w:rPr>
          <w:rFonts w:asciiTheme="majorHAnsi" w:hAnsiTheme="majorHAnsi"/>
          <w:sz w:val="18"/>
          <w:szCs w:val="18"/>
        </w:rPr>
        <w:t xml:space="preserve">. </w:t>
      </w:r>
    </w:p>
    <w:p w:rsidR="00AE3E37" w:rsidRPr="009B38E1" w:rsidRDefault="00AE3E37">
      <w:pPr>
        <w:spacing w:line="200" w:lineRule="exact"/>
        <w:jc w:val="both"/>
        <w:rPr>
          <w:rFonts w:ascii="Times New Roman" w:hAnsi="Times New Roman" w:cs="Times New Roman"/>
        </w:rPr>
        <w:sectPr w:rsidR="00AE3E37" w:rsidRPr="009B38E1">
          <w:headerReference w:type="default" r:id="rId7"/>
          <w:footerReference w:type="default" r:id="rId8"/>
          <w:type w:val="continuous"/>
          <w:pgSz w:w="11910" w:h="16840"/>
          <w:pgMar w:top="1740" w:right="600" w:bottom="840" w:left="620" w:header="720" w:footer="720" w:gutter="0"/>
          <w:cols w:num="2" w:space="720" w:equalWidth="0">
            <w:col w:w="5214" w:space="138"/>
            <w:col w:w="5338"/>
          </w:cols>
        </w:sectPr>
      </w:pPr>
    </w:p>
    <w:p w:rsidR="00AE3E37" w:rsidRPr="009B38E1" w:rsidRDefault="00AE3E37">
      <w:pPr>
        <w:pStyle w:val="BodyText"/>
        <w:rPr>
          <w:rFonts w:ascii="Times New Roman" w:hAnsi="Times New Roman" w:cs="Times New Roman"/>
          <w:b/>
          <w:sz w:val="20"/>
        </w:rPr>
      </w:pPr>
    </w:p>
    <w:p w:rsidR="00AE3E37" w:rsidRPr="009B38E1" w:rsidRDefault="00292ED9">
      <w:pPr>
        <w:pStyle w:val="BodyText"/>
        <w:spacing w:line="40" w:lineRule="exact"/>
        <w:ind w:left="2202"/>
        <w:rPr>
          <w:rFonts w:ascii="Times New Roman" w:hAnsi="Times New Roman" w:cs="Times New Roman"/>
          <w:sz w:val="4"/>
        </w:rPr>
      </w:pPr>
      <w:r w:rsidRPr="009B38E1">
        <w:rPr>
          <w:rFonts w:ascii="Times New Roman" w:hAnsi="Times New Roman" w:cs="Times New Roman"/>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5905F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9B38E1" w:rsidRDefault="008756E6" w:rsidP="00B213CA">
      <w:pPr>
        <w:jc w:val="both"/>
        <w:rPr>
          <w:rFonts w:ascii="Times New Roman" w:hAnsi="Times New Roman" w:cs="Times New Roman"/>
        </w:rPr>
      </w:pPr>
      <w:r w:rsidRPr="009B38E1">
        <w:rPr>
          <w:rFonts w:ascii="Times New Roman" w:hAnsi="Times New Roman" w:cs="Times New Roman"/>
          <w:noProof/>
        </w:rPr>
        <w:t xml:space="preserve">        </w:t>
      </w:r>
      <w:r w:rsidR="0099500A" w:rsidRPr="00B213CA">
        <w:rPr>
          <w:rFonts w:ascii="Times New Roman" w:hAnsi="Times New Roman" w:cs="Times New Roman"/>
          <w:noProof/>
          <w:lang w:eastAsia="en-IN"/>
        </w:rPr>
        <w:drawing>
          <wp:inline distT="0" distB="0" distL="0" distR="0" wp14:anchorId="79ACAFC9" wp14:editId="70E0BBA9">
            <wp:extent cx="657225" cy="657225"/>
            <wp:effectExtent l="0" t="0" r="9525" b="9525"/>
            <wp:docPr id="2" name="Picture 2" descr="Tayyaba 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yyaba Al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r w:rsidR="00A9710C" w:rsidRPr="009B38E1">
        <w:rPr>
          <w:rFonts w:ascii="Times New Roman" w:hAnsi="Times New Roman" w:cs="Times New Roman"/>
          <w:color w:val="BF5A14"/>
        </w:rPr>
        <w:t>Biography</w:t>
      </w:r>
    </w:p>
    <w:p w:rsidR="00AE3E37" w:rsidRPr="009B38E1" w:rsidRDefault="00A9710C">
      <w:pPr>
        <w:spacing w:before="41" w:line="154" w:lineRule="exact"/>
        <w:ind w:left="213" w:right="231"/>
        <w:jc w:val="both"/>
        <w:rPr>
          <w:rFonts w:ascii="Times New Roman" w:hAnsi="Times New Roman" w:cs="Times New Roman"/>
          <w:sz w:val="14"/>
        </w:rPr>
      </w:pPr>
      <w:bookmarkStart w:id="1" w:name="_Hlk126796807"/>
      <w:r w:rsidRPr="009B38E1">
        <w:rPr>
          <w:rFonts w:ascii="Times New Roman" w:hAnsi="Times New Roman" w:cs="Times New Roman"/>
          <w:sz w:val="14"/>
        </w:rPr>
        <w:t>D</w:t>
      </w:r>
      <w:r w:rsidR="0078738A" w:rsidRPr="009B38E1">
        <w:rPr>
          <w:rFonts w:ascii="Times New Roman" w:hAnsi="Times New Roman" w:cs="Times New Roman"/>
          <w:sz w:val="14"/>
        </w:rPr>
        <w:t>r</w:t>
      </w:r>
      <w:r w:rsidR="00BD233C">
        <w:rPr>
          <w:rFonts w:ascii="Times New Roman" w:hAnsi="Times New Roman" w:cs="Times New Roman"/>
          <w:sz w:val="14"/>
        </w:rPr>
        <w:t>.</w:t>
      </w:r>
      <w:r w:rsidR="0078738A" w:rsidRPr="009B38E1">
        <w:rPr>
          <w:rFonts w:ascii="Times New Roman" w:hAnsi="Times New Roman" w:cs="Times New Roman"/>
          <w:sz w:val="14"/>
        </w:rPr>
        <w:t xml:space="preserve"> </w:t>
      </w:r>
      <w:r w:rsidR="00B213CA">
        <w:rPr>
          <w:rFonts w:ascii="Times New Roman" w:hAnsi="Times New Roman" w:cs="Times New Roman"/>
          <w:sz w:val="14"/>
        </w:rPr>
        <w:t>Tayyaba Ali is working as Assistant Professor</w:t>
      </w:r>
      <w:r w:rsidR="0099500A">
        <w:rPr>
          <w:rFonts w:ascii="Times New Roman" w:hAnsi="Times New Roman" w:cs="Times New Roman"/>
          <w:sz w:val="14"/>
        </w:rPr>
        <w:t xml:space="preserve"> at GC university, Faisalabad, Pakistan. Her area of interest is </w:t>
      </w:r>
      <w:r w:rsidR="00BD233C">
        <w:rPr>
          <w:rFonts w:ascii="Times New Roman" w:hAnsi="Times New Roman" w:cs="Times New Roman"/>
          <w:sz w:val="14"/>
        </w:rPr>
        <w:t>E</w:t>
      </w:r>
      <w:r w:rsidR="0099500A">
        <w:rPr>
          <w:rFonts w:ascii="Times New Roman" w:hAnsi="Times New Roman" w:cs="Times New Roman"/>
          <w:sz w:val="14"/>
        </w:rPr>
        <w:t>nvironmental Toxicology particularly genetic Toxicology</w:t>
      </w:r>
      <w:r w:rsidRPr="009B38E1">
        <w:rPr>
          <w:rFonts w:ascii="Times New Roman" w:hAnsi="Times New Roman" w:cs="Times New Roman"/>
          <w:sz w:val="14"/>
        </w:rPr>
        <w:t>.</w:t>
      </w:r>
      <w:r w:rsidR="0099500A">
        <w:rPr>
          <w:rFonts w:ascii="Times New Roman" w:hAnsi="Times New Roman" w:cs="Times New Roman"/>
          <w:sz w:val="14"/>
        </w:rPr>
        <w:t xml:space="preserve"> She has completed different projects evaluating genotoxic potential of </w:t>
      </w:r>
      <w:r w:rsidR="00BD233C">
        <w:rPr>
          <w:rFonts w:ascii="Times New Roman" w:hAnsi="Times New Roman" w:cs="Times New Roman"/>
          <w:sz w:val="14"/>
        </w:rPr>
        <w:t>Fumigants</w:t>
      </w:r>
      <w:r w:rsidR="0099500A">
        <w:rPr>
          <w:rFonts w:ascii="Times New Roman" w:hAnsi="Times New Roman" w:cs="Times New Roman"/>
          <w:sz w:val="14"/>
        </w:rPr>
        <w:t>, Anticancer drugs</w:t>
      </w:r>
      <w:r w:rsidR="00BD233C">
        <w:rPr>
          <w:rFonts w:ascii="Times New Roman" w:hAnsi="Times New Roman" w:cs="Times New Roman"/>
          <w:sz w:val="14"/>
        </w:rPr>
        <w:t xml:space="preserve">, Food preservatives, drugs, Food chain genetic toxicology, Mycotoxin toxicology using different </w:t>
      </w:r>
      <w:r w:rsidR="00BD233C" w:rsidRPr="00BD233C">
        <w:rPr>
          <w:rFonts w:ascii="Times New Roman" w:hAnsi="Times New Roman" w:cs="Times New Roman"/>
          <w:i/>
          <w:iCs/>
          <w:sz w:val="14"/>
        </w:rPr>
        <w:t>in-vivo</w:t>
      </w:r>
      <w:r w:rsidR="00BD233C">
        <w:rPr>
          <w:rFonts w:ascii="Times New Roman" w:hAnsi="Times New Roman" w:cs="Times New Roman"/>
          <w:sz w:val="14"/>
        </w:rPr>
        <w:t xml:space="preserve"> and </w:t>
      </w:r>
      <w:r w:rsidR="00BD233C" w:rsidRPr="00BD233C">
        <w:rPr>
          <w:rFonts w:ascii="Times New Roman" w:hAnsi="Times New Roman" w:cs="Times New Roman"/>
          <w:i/>
          <w:iCs/>
          <w:sz w:val="14"/>
        </w:rPr>
        <w:t>in-vitro</w:t>
      </w:r>
      <w:r w:rsidR="00BD233C">
        <w:rPr>
          <w:rFonts w:ascii="Times New Roman" w:hAnsi="Times New Roman" w:cs="Times New Roman"/>
          <w:sz w:val="14"/>
        </w:rPr>
        <w:t xml:space="preserve"> systems.</w:t>
      </w:r>
      <w:r w:rsidR="0099500A">
        <w:rPr>
          <w:rFonts w:ascii="Times New Roman" w:hAnsi="Times New Roman" w:cs="Times New Roman"/>
          <w:sz w:val="14"/>
        </w:rPr>
        <w:t xml:space="preserve"> </w:t>
      </w:r>
      <w:r w:rsidR="00BD233C">
        <w:rPr>
          <w:rFonts w:ascii="Times New Roman" w:hAnsi="Times New Roman" w:cs="Times New Roman"/>
          <w:sz w:val="14"/>
        </w:rPr>
        <w:t>She has supervised 20 MS students and is currently supervising 2 doctoral and 6 MS students</w:t>
      </w:r>
    </w:p>
    <w:bookmarkEnd w:id="1"/>
    <w:p w:rsidR="00AE3E37" w:rsidRPr="009B38E1" w:rsidRDefault="00A9710C">
      <w:pPr>
        <w:spacing w:before="62"/>
        <w:ind w:left="4217" w:right="4235"/>
        <w:jc w:val="center"/>
        <w:rPr>
          <w:rFonts w:ascii="Times New Roman" w:hAnsi="Times New Roman" w:cs="Times New Roman"/>
          <w:sz w:val="14"/>
        </w:rPr>
      </w:pPr>
      <w:r w:rsidRPr="009B38E1">
        <w:rPr>
          <w:rFonts w:ascii="Times New Roman" w:hAnsi="Times New Roman" w:cs="Times New Roman"/>
          <w:sz w:val="14"/>
        </w:rPr>
        <w:t xml:space="preserve">Email: </w:t>
      </w:r>
      <w:hyperlink r:id="rId10" w:history="1">
        <w:r w:rsidR="0099500A" w:rsidRPr="00165465">
          <w:rPr>
            <w:rStyle w:val="Hyperlink"/>
            <w:rFonts w:ascii="Times New Roman" w:hAnsi="Times New Roman" w:cs="Times New Roman"/>
            <w:sz w:val="14"/>
          </w:rPr>
          <w:t>ali.tayyaba@gmail.com</w:t>
        </w:r>
      </w:hyperlink>
    </w:p>
    <w:p w:rsidR="00AE3E37" w:rsidRPr="009B38E1" w:rsidRDefault="00292ED9">
      <w:pPr>
        <w:pStyle w:val="BodyText"/>
        <w:spacing w:before="2"/>
        <w:rPr>
          <w:rFonts w:ascii="Times New Roman" w:hAnsi="Times New Roman" w:cs="Times New Roman"/>
          <w:sz w:val="19"/>
        </w:rPr>
      </w:pPr>
      <w:r w:rsidRPr="009B38E1">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1EB88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rsidR="00AE3E37" w:rsidRPr="009B38E1" w:rsidRDefault="00AE3E37">
      <w:pPr>
        <w:pStyle w:val="BodyText"/>
        <w:rPr>
          <w:rFonts w:ascii="Times New Roman" w:hAnsi="Times New Roman" w:cs="Times New Roman"/>
          <w:sz w:val="20"/>
        </w:rPr>
      </w:pPr>
    </w:p>
    <w:p w:rsidR="00AE3E37" w:rsidRPr="009B38E1" w:rsidRDefault="00AE3E37">
      <w:pPr>
        <w:pStyle w:val="BodyText"/>
        <w:rPr>
          <w:rFonts w:ascii="Times New Roman" w:hAnsi="Times New Roman" w:cs="Times New Roman"/>
          <w:sz w:val="20"/>
        </w:rPr>
      </w:pPr>
    </w:p>
    <w:p w:rsidR="00AE3E37" w:rsidRPr="009B38E1" w:rsidRDefault="00AE3E37">
      <w:pPr>
        <w:pStyle w:val="BodyText"/>
        <w:spacing w:before="7"/>
        <w:rPr>
          <w:rFonts w:ascii="Times New Roman" w:hAnsi="Times New Roman" w:cs="Times New Roman"/>
          <w:sz w:val="29"/>
        </w:rPr>
      </w:pPr>
    </w:p>
    <w:p w:rsidR="00AE3E37" w:rsidRPr="009B38E1" w:rsidRDefault="00A9710C">
      <w:pPr>
        <w:spacing w:before="39"/>
        <w:ind w:left="100"/>
        <w:rPr>
          <w:rFonts w:ascii="Times New Roman" w:hAnsi="Times New Roman" w:cs="Times New Roman"/>
          <w:b/>
          <w:sz w:val="20"/>
        </w:rPr>
      </w:pPr>
      <w:r w:rsidRPr="009B38E1">
        <w:rPr>
          <w:rFonts w:ascii="Times New Roman" w:hAnsi="Times New Roman" w:cs="Times New Roman"/>
          <w:b/>
          <w:sz w:val="20"/>
        </w:rPr>
        <w:t>Notes/Comments:</w:t>
      </w:r>
    </w:p>
    <w:p w:rsidR="00AE3E37" w:rsidRPr="009B38E1" w:rsidRDefault="00AE3E37">
      <w:pPr>
        <w:rPr>
          <w:rFonts w:ascii="Times New Roman" w:hAnsi="Times New Roman" w:cs="Times New Roman"/>
          <w:sz w:val="24"/>
        </w:rPr>
        <w:sectPr w:rsidR="00AE3E37" w:rsidRPr="009B38E1">
          <w:type w:val="continuous"/>
          <w:pgSz w:w="11910" w:h="16840"/>
          <w:pgMar w:top="1740" w:right="600" w:bottom="840" w:left="620" w:header="720" w:footer="720" w:gutter="0"/>
          <w:cols w:space="720"/>
        </w:sectPr>
      </w:pPr>
    </w:p>
    <w:p w:rsidR="00AE3E37" w:rsidRPr="009B38E1" w:rsidRDefault="00AE3E37">
      <w:pPr>
        <w:pStyle w:val="BodyText"/>
        <w:spacing w:before="3"/>
        <w:rPr>
          <w:rFonts w:ascii="Times New Roman" w:hAnsi="Times New Roman" w:cs="Times New Roman"/>
          <w:sz w:val="26"/>
        </w:rPr>
      </w:pPr>
    </w:p>
    <w:sectPr w:rsidR="00AE3E37" w:rsidRPr="009B38E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B1B0D" w:rsidRDefault="005B1B0D">
      <w:r>
        <w:separator/>
      </w:r>
    </w:p>
  </w:endnote>
  <w:endnote w:type="continuationSeparator" w:id="0">
    <w:p w:rsidR="005B1B0D" w:rsidRDefault="005B1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B1B0D" w:rsidRDefault="005B1B0D">
      <w:r>
        <w:separator/>
      </w:r>
    </w:p>
  </w:footnote>
  <w:footnote w:type="continuationSeparator" w:id="0">
    <w:p w:rsidR="005B1B0D" w:rsidRDefault="005B1B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B63FD"/>
    <w:multiLevelType w:val="hybridMultilevel"/>
    <w:tmpl w:val="DF4A9B00"/>
    <w:lvl w:ilvl="0" w:tplc="FFFFFFFF">
      <w:start w:val="1"/>
      <w:numFmt w:val="decimal"/>
      <w:lvlText w:val="%1."/>
      <w:lvlJc w:val="left"/>
      <w:pPr>
        <w:ind w:left="1080" w:hanging="360"/>
      </w:pPr>
      <w:rPr>
        <w:rFonts w:ascii="Times New Roman" w:eastAsia="Calibri" w:hAnsi="Times New Roman" w:cs="Calibri"/>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DCB1ECF"/>
    <w:multiLevelType w:val="hybridMultilevel"/>
    <w:tmpl w:val="DF4A9B00"/>
    <w:lvl w:ilvl="0" w:tplc="DEBEBBE2">
      <w:start w:val="1"/>
      <w:numFmt w:val="decimal"/>
      <w:lvlText w:val="%1."/>
      <w:lvlJc w:val="left"/>
      <w:pPr>
        <w:ind w:left="1080" w:hanging="360"/>
      </w:pPr>
      <w:rPr>
        <w:rFonts w:ascii="Times New Roman" w:eastAsia="Calibri" w:hAnsi="Times New Roman"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555817444">
    <w:abstractNumId w:val="1"/>
  </w:num>
  <w:num w:numId="2" w16cid:durableId="441074676">
    <w:abstractNumId w:val="3"/>
  </w:num>
  <w:num w:numId="3" w16cid:durableId="387917273">
    <w:abstractNumId w:val="1"/>
    <w:lvlOverride w:ilvl="0">
      <w:startOverride w:val="1"/>
    </w:lvlOverride>
    <w:lvlOverride w:ilvl="1"/>
    <w:lvlOverride w:ilvl="2"/>
    <w:lvlOverride w:ilvl="3"/>
    <w:lvlOverride w:ilvl="4"/>
    <w:lvlOverride w:ilvl="5"/>
    <w:lvlOverride w:ilvl="6"/>
    <w:lvlOverride w:ilvl="7"/>
    <w:lvlOverride w:ilvl="8"/>
  </w:num>
  <w:num w:numId="4" w16cid:durableId="1124421083">
    <w:abstractNumId w:val="2"/>
  </w:num>
  <w:num w:numId="5" w16cid:durableId="891774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1B0D"/>
    <w:rsid w:val="005B3A56"/>
    <w:rsid w:val="006060CE"/>
    <w:rsid w:val="0063497F"/>
    <w:rsid w:val="006725BD"/>
    <w:rsid w:val="0078738A"/>
    <w:rsid w:val="00873DF0"/>
    <w:rsid w:val="008756E6"/>
    <w:rsid w:val="00982311"/>
    <w:rsid w:val="0099500A"/>
    <w:rsid w:val="009B2D44"/>
    <w:rsid w:val="009B38E1"/>
    <w:rsid w:val="00A07E82"/>
    <w:rsid w:val="00A9710C"/>
    <w:rsid w:val="00AE3E37"/>
    <w:rsid w:val="00B213CA"/>
    <w:rsid w:val="00B21A57"/>
    <w:rsid w:val="00BD233C"/>
    <w:rsid w:val="00C33602"/>
    <w:rsid w:val="00CD6F55"/>
    <w:rsid w:val="00D62425"/>
    <w:rsid w:val="00DE3104"/>
    <w:rsid w:val="00E805AC"/>
    <w:rsid w:val="00EE2566"/>
    <w:rsid w:val="00F35540"/>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45B63"/>
  <w15:docId w15:val="{9472BF5D-88AA-4F07-977C-068A997BA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uiPriority w:val="10"/>
    <w:qFormat/>
    <w:rsid w:val="00F35540"/>
    <w:pPr>
      <w:widowControl/>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540"/>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F35540"/>
    <w:rPr>
      <w:color w:val="605E5C"/>
      <w:shd w:val="clear" w:color="auto" w:fill="E1DFDD"/>
    </w:rPr>
  </w:style>
  <w:style w:type="character" w:customStyle="1" w:styleId="cit-volume">
    <w:name w:val="cit-volume"/>
    <w:basedOn w:val="DefaultParagraphFont"/>
    <w:rsid w:val="006725BD"/>
  </w:style>
  <w:style w:type="character" w:customStyle="1" w:styleId="cit-issue">
    <w:name w:val="cit-issue"/>
    <w:basedOn w:val="DefaultParagraphFont"/>
    <w:rsid w:val="006725BD"/>
  </w:style>
  <w:style w:type="character" w:customStyle="1" w:styleId="cit-pagerange">
    <w:name w:val="cit-pagerange"/>
    <w:basedOn w:val="DefaultParagraphFont"/>
    <w:rsid w:val="006725BD"/>
  </w:style>
  <w:style w:type="character" w:customStyle="1" w:styleId="il">
    <w:name w:val="il"/>
    <w:rsid w:val="00672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li.tayyaba@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578</Words>
  <Characters>3297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Muhammad Tufail Gill</cp:lastModifiedBy>
  <cp:revision>2</cp:revision>
  <dcterms:created xsi:type="dcterms:W3CDTF">2023-02-08T20:01:00Z</dcterms:created>
  <dcterms:modified xsi:type="dcterms:W3CDTF">2023-02-08T20:01:00Z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