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63A5C" w14:textId="77777777" w:rsidR="00443B7F" w:rsidRPr="00D857B8" w:rsidRDefault="00443B7F" w:rsidP="00443B7F">
      <w:pPr>
        <w:bidi w:val="0"/>
        <w:ind w:left="142"/>
        <w:rPr>
          <w:rFonts w:asciiTheme="majorBidi" w:hAnsiTheme="majorBidi" w:cstheme="majorBidi"/>
          <w:b/>
          <w:bCs/>
          <w:sz w:val="28"/>
          <w:szCs w:val="28"/>
        </w:rPr>
      </w:pPr>
      <w:r w:rsidRPr="00D857B8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14:paraId="0B99B125" w14:textId="77777777" w:rsidR="00443B7F" w:rsidRPr="001C4005" w:rsidRDefault="00443B7F" w:rsidP="00443B7F">
      <w:pPr>
        <w:bidi w:val="0"/>
        <w:spacing w:line="360" w:lineRule="auto"/>
        <w:ind w:left="142" w:firstLine="851"/>
        <w:jc w:val="both"/>
        <w:rPr>
          <w:rFonts w:asciiTheme="majorBidi" w:hAnsiTheme="majorBidi" w:cstheme="majorBidi"/>
          <w:sz w:val="24"/>
          <w:szCs w:val="24"/>
        </w:rPr>
      </w:pPr>
      <w:r w:rsidRPr="001C4005">
        <w:rPr>
          <w:rFonts w:asciiTheme="majorBidi" w:hAnsiTheme="majorBidi" w:cstheme="majorBidi"/>
          <w:sz w:val="24"/>
          <w:szCs w:val="24"/>
        </w:rPr>
        <w:t xml:space="preserve">Fertilizer production industry has severe environmental impacts on ecosystem and human health. </w:t>
      </w:r>
      <w:r>
        <w:rPr>
          <w:rFonts w:asciiTheme="majorBidi" w:hAnsiTheme="majorBidi" w:cstheme="majorBidi"/>
          <w:sz w:val="24"/>
          <w:szCs w:val="24"/>
        </w:rPr>
        <w:t xml:space="preserve">The assessment of environmental pollutants has become as an important issue of international concern. </w:t>
      </w:r>
      <w:r w:rsidRPr="001C4005">
        <w:rPr>
          <w:rFonts w:asciiTheme="majorBidi" w:hAnsiTheme="majorBidi" w:cstheme="majorBidi"/>
          <w:sz w:val="24"/>
          <w:szCs w:val="24"/>
        </w:rPr>
        <w:t xml:space="preserve">In this study, life cycle assessment (LCA) using the gate to the gate approach </w:t>
      </w:r>
      <w:r>
        <w:rPr>
          <w:rFonts w:asciiTheme="majorBidi" w:hAnsiTheme="majorBidi" w:cstheme="majorBidi"/>
          <w:sz w:val="24"/>
          <w:szCs w:val="24"/>
        </w:rPr>
        <w:t>in combination with</w:t>
      </w:r>
      <w:r w:rsidRPr="001C4005">
        <w:rPr>
          <w:rFonts w:asciiTheme="majorBidi" w:hAnsiTheme="majorBidi" w:cstheme="majorBidi"/>
          <w:sz w:val="24"/>
          <w:szCs w:val="24"/>
        </w:rPr>
        <w:t xml:space="preserve"> oxidative stress damage levels were used as assessment tools </w:t>
      </w:r>
      <w:r>
        <w:rPr>
          <w:rFonts w:asciiTheme="majorBidi" w:hAnsiTheme="majorBidi" w:cstheme="majorBidi"/>
          <w:sz w:val="24"/>
          <w:szCs w:val="24"/>
        </w:rPr>
        <w:t>to assess</w:t>
      </w:r>
      <w:r w:rsidRPr="001C4005">
        <w:rPr>
          <w:rFonts w:asciiTheme="majorBidi" w:hAnsiTheme="majorBidi" w:cstheme="majorBidi"/>
          <w:sz w:val="24"/>
          <w:szCs w:val="24"/>
        </w:rPr>
        <w:t xml:space="preserve"> environmental impacts produced from phosphate fertilizer production industry. </w:t>
      </w:r>
      <w:r>
        <w:rPr>
          <w:rFonts w:asciiTheme="majorBidi" w:hAnsiTheme="majorBidi" w:cstheme="majorBidi"/>
          <w:sz w:val="24"/>
          <w:szCs w:val="24"/>
        </w:rPr>
        <w:t>H</w:t>
      </w:r>
      <w:r w:rsidRPr="001C4005">
        <w:rPr>
          <w:rFonts w:asciiTheme="majorBidi" w:hAnsiTheme="majorBidi" w:cstheme="majorBidi"/>
          <w:sz w:val="24"/>
          <w:szCs w:val="24"/>
        </w:rPr>
        <w:t>omogenate</w:t>
      </w:r>
      <w:r>
        <w:rPr>
          <w:rFonts w:asciiTheme="majorBidi" w:hAnsiTheme="majorBidi" w:cstheme="majorBidi"/>
          <w:sz w:val="24"/>
          <w:szCs w:val="24"/>
        </w:rPr>
        <w:t>s</w:t>
      </w:r>
      <w:r w:rsidRPr="001C4005">
        <w:rPr>
          <w:rFonts w:asciiTheme="majorBidi" w:hAnsiTheme="majorBidi" w:cstheme="majorBidi"/>
          <w:sz w:val="24"/>
          <w:szCs w:val="24"/>
        </w:rPr>
        <w:t xml:space="preserve"> of brain, thoracic muscles and gut tissues of male and female </w:t>
      </w:r>
      <w:proofErr w:type="spellStart"/>
      <w:r w:rsidRPr="001C4005">
        <w:rPr>
          <w:rFonts w:ascii="Times New Roman" w:eastAsia="Calibri" w:hAnsi="Times New Roman" w:cs="Times New Roman"/>
          <w:i/>
          <w:iCs/>
          <w:sz w:val="24"/>
          <w:szCs w:val="24"/>
        </w:rPr>
        <w:t>Crocothemis</w:t>
      </w:r>
      <w:proofErr w:type="spellEnd"/>
      <w:r w:rsidRPr="001C400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C4005">
        <w:rPr>
          <w:rFonts w:ascii="Times New Roman" w:eastAsia="Calibri" w:hAnsi="Times New Roman" w:cs="Times New Roman"/>
          <w:i/>
          <w:iCs/>
          <w:sz w:val="24"/>
          <w:szCs w:val="24"/>
        </w:rPr>
        <w:t>erythraea</w:t>
      </w:r>
      <w:proofErr w:type="spellEnd"/>
      <w:r w:rsidRPr="001C4005">
        <w:rPr>
          <w:rFonts w:asciiTheme="majorBidi" w:hAnsiTheme="majorBidi" w:cstheme="majorBidi"/>
          <w:sz w:val="24"/>
          <w:szCs w:val="24"/>
        </w:rPr>
        <w:t xml:space="preserve"> collected from</w:t>
      </w:r>
      <w:r>
        <w:rPr>
          <w:rFonts w:asciiTheme="majorBidi" w:hAnsiTheme="majorBidi" w:cstheme="majorBidi"/>
          <w:sz w:val="24"/>
          <w:szCs w:val="24"/>
        </w:rPr>
        <w:t xml:space="preserve"> an</w:t>
      </w:r>
      <w:r w:rsidRPr="001C4005">
        <w:rPr>
          <w:rFonts w:asciiTheme="majorBidi" w:hAnsiTheme="majorBidi" w:cstheme="majorBidi"/>
          <w:sz w:val="24"/>
          <w:szCs w:val="24"/>
        </w:rPr>
        <w:t xml:space="preserve"> area close to fertilizer factory </w:t>
      </w:r>
      <w:r>
        <w:rPr>
          <w:rFonts w:asciiTheme="majorBidi" w:hAnsiTheme="majorBidi" w:cstheme="majorBidi"/>
          <w:sz w:val="24"/>
          <w:szCs w:val="24"/>
        </w:rPr>
        <w:t>and a control site were</w:t>
      </w:r>
      <w:r w:rsidRPr="001C4005">
        <w:rPr>
          <w:rFonts w:asciiTheme="majorBidi" w:hAnsiTheme="majorBidi" w:cstheme="majorBidi"/>
          <w:sz w:val="24"/>
          <w:szCs w:val="24"/>
        </w:rPr>
        <w:t xml:space="preserve"> used as a biochemical</w:t>
      </w:r>
      <w:r>
        <w:rPr>
          <w:rFonts w:asciiTheme="majorBidi" w:hAnsiTheme="majorBidi" w:cstheme="majorBidi"/>
          <w:sz w:val="24"/>
          <w:szCs w:val="24"/>
        </w:rPr>
        <w:t xml:space="preserve"> tool to</w:t>
      </w:r>
      <w:r w:rsidRPr="001C4005">
        <w:rPr>
          <w:rFonts w:asciiTheme="majorBidi" w:hAnsiTheme="majorBidi" w:cstheme="majorBidi"/>
          <w:sz w:val="24"/>
          <w:szCs w:val="24"/>
        </w:rPr>
        <w:t xml:space="preserve"> monitor</w:t>
      </w:r>
      <w:r>
        <w:rPr>
          <w:rFonts w:asciiTheme="majorBidi" w:hAnsiTheme="majorBidi" w:cstheme="majorBidi"/>
          <w:sz w:val="24"/>
          <w:szCs w:val="24"/>
        </w:rPr>
        <w:t xml:space="preserve"> the impact of fertilizer production industry</w:t>
      </w:r>
      <w:r w:rsidRPr="001C4005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Moreover</w:t>
      </w:r>
      <w:r w:rsidRPr="001C4005">
        <w:rPr>
          <w:rFonts w:asciiTheme="majorBidi" w:hAnsiTheme="majorBidi" w:cstheme="majorBidi"/>
          <w:sz w:val="24"/>
          <w:szCs w:val="24"/>
        </w:rPr>
        <w:t xml:space="preserve">, key antioxidants enzymes activity related to environmental load of fertilizers production were quantified. Likewise, </w:t>
      </w:r>
      <w:bookmarkStart w:id="0" w:name="_Hlk514259689"/>
      <w:r w:rsidRPr="001C4005">
        <w:rPr>
          <w:rFonts w:asciiTheme="majorBidi" w:hAnsiTheme="majorBidi" w:cstheme="majorBidi"/>
          <w:sz w:val="24"/>
          <w:szCs w:val="24"/>
        </w:rPr>
        <w:t>uncertainty analysis based on Monte Carlo was conducted to improve reliability of LCA results obtained in this study</w:t>
      </w:r>
      <w:bookmarkEnd w:id="0"/>
      <w:r w:rsidRPr="001C4005">
        <w:rPr>
          <w:rFonts w:asciiTheme="majorBidi" w:hAnsiTheme="majorBidi" w:cstheme="majorBidi"/>
          <w:sz w:val="24"/>
          <w:szCs w:val="24"/>
        </w:rPr>
        <w:t xml:space="preserve">. </w:t>
      </w:r>
    </w:p>
    <w:p w14:paraId="222D8420" w14:textId="77777777" w:rsidR="00443B7F" w:rsidRPr="001C4005" w:rsidRDefault="00443B7F" w:rsidP="00443B7F">
      <w:pPr>
        <w:bidi w:val="0"/>
        <w:spacing w:line="360" w:lineRule="auto"/>
        <w:ind w:left="142" w:firstLine="851"/>
        <w:jc w:val="both"/>
        <w:rPr>
          <w:rFonts w:asciiTheme="majorBidi" w:hAnsiTheme="majorBidi" w:cstheme="majorBidi"/>
          <w:sz w:val="24"/>
          <w:szCs w:val="24"/>
        </w:rPr>
      </w:pPr>
      <w:r w:rsidRPr="001C4005">
        <w:rPr>
          <w:rFonts w:asciiTheme="majorBidi" w:hAnsiTheme="majorBidi" w:cstheme="majorBidi"/>
          <w:sz w:val="24"/>
          <w:szCs w:val="24"/>
        </w:rPr>
        <w:t xml:space="preserve">Results showed that fertilizer production </w:t>
      </w:r>
      <w:r>
        <w:rPr>
          <w:rFonts w:asciiTheme="majorBidi" w:hAnsiTheme="majorBidi" w:cstheme="majorBidi"/>
          <w:sz w:val="24"/>
          <w:szCs w:val="24"/>
        </w:rPr>
        <w:t xml:space="preserve">has impacts on the impact categories living organism′s </w:t>
      </w:r>
      <w:r w:rsidRPr="001C4005">
        <w:rPr>
          <w:rFonts w:asciiTheme="majorBidi" w:hAnsiTheme="majorBidi" w:cstheme="majorBidi"/>
          <w:sz w:val="24"/>
          <w:szCs w:val="24"/>
        </w:rPr>
        <w:t>toxicity</w:t>
      </w:r>
      <w:r>
        <w:rPr>
          <w:rFonts w:asciiTheme="majorBidi" w:hAnsiTheme="majorBidi" w:cstheme="majorBidi"/>
          <w:sz w:val="24"/>
          <w:szCs w:val="24"/>
        </w:rPr>
        <w:t>,</w:t>
      </w:r>
      <w:r w:rsidRPr="001C4005">
        <w:rPr>
          <w:rFonts w:asciiTheme="majorBidi" w:hAnsiTheme="majorBidi" w:cstheme="majorBidi"/>
          <w:sz w:val="24"/>
          <w:szCs w:val="24"/>
        </w:rPr>
        <w:t xml:space="preserve"> climate change, terrestrial acidification, marine eutrophication, photochemical oxidant formation, particulate matter formation, terrestrial ecotoxicity, freshwater ecotoxicity, and marine ecotoxicity. </w:t>
      </w:r>
      <w:r>
        <w:rPr>
          <w:rFonts w:asciiTheme="majorBidi" w:hAnsiTheme="majorBidi" w:cstheme="majorBidi"/>
          <w:sz w:val="24"/>
          <w:szCs w:val="24"/>
        </w:rPr>
        <w:t>The</w:t>
      </w:r>
      <w:r w:rsidRPr="001C4005">
        <w:rPr>
          <w:rFonts w:asciiTheme="majorBidi" w:hAnsiTheme="majorBidi" w:cstheme="majorBidi"/>
          <w:sz w:val="24"/>
          <w:szCs w:val="24"/>
        </w:rPr>
        <w:t xml:space="preserve"> most sensitive categories of LCIA are terrestrial and freshwater ecotoxicity.   Also, results revealed that protein carbonyls levels of brain, thoracic muscles and gut tissues homogenates were </w:t>
      </w:r>
      <w:r>
        <w:rPr>
          <w:rFonts w:asciiTheme="majorBidi" w:hAnsiTheme="majorBidi" w:cstheme="majorBidi"/>
          <w:sz w:val="24"/>
          <w:szCs w:val="24"/>
        </w:rPr>
        <w:t xml:space="preserve">significantly higher in </w:t>
      </w:r>
      <w:r w:rsidRPr="001C4005">
        <w:rPr>
          <w:rFonts w:asciiTheme="majorBidi" w:hAnsiTheme="majorBidi" w:cstheme="majorBidi"/>
          <w:sz w:val="24"/>
          <w:szCs w:val="24"/>
        </w:rPr>
        <w:t>male and female collected insects</w:t>
      </w:r>
      <w:r>
        <w:rPr>
          <w:rFonts w:asciiTheme="majorBidi" w:hAnsiTheme="majorBidi" w:cstheme="majorBidi"/>
          <w:sz w:val="24"/>
          <w:szCs w:val="24"/>
        </w:rPr>
        <w:t xml:space="preserve"> form an area closed to fertilizer factor than a control site</w:t>
      </w:r>
      <w:r w:rsidRPr="001C4005">
        <w:rPr>
          <w:rFonts w:asciiTheme="majorBidi" w:hAnsiTheme="majorBidi" w:cstheme="majorBidi"/>
          <w:sz w:val="24"/>
          <w:szCs w:val="24"/>
        </w:rPr>
        <w:t xml:space="preserve">. Cluster analysis using Ward′s method of key antioxidant enzymes activity revealed slightly dissimilarity between brain and other homogenates tissues in male insect. </w:t>
      </w:r>
      <w:r>
        <w:rPr>
          <w:rFonts w:asciiTheme="majorBidi" w:hAnsiTheme="majorBidi" w:cstheme="majorBidi"/>
          <w:sz w:val="24"/>
          <w:szCs w:val="24"/>
        </w:rPr>
        <w:t>The combination</w:t>
      </w:r>
      <w:r w:rsidRPr="001C400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of</w:t>
      </w:r>
      <w:r w:rsidRPr="001C4005">
        <w:rPr>
          <w:rFonts w:asciiTheme="majorBidi" w:hAnsiTheme="majorBidi" w:cstheme="majorBidi"/>
          <w:sz w:val="24"/>
          <w:szCs w:val="24"/>
        </w:rPr>
        <w:t xml:space="preserve"> life cycle assessment and oxidative stress biomonitoring of fertilizer industry was </w:t>
      </w:r>
      <w:r>
        <w:rPr>
          <w:rFonts w:asciiTheme="majorBidi" w:hAnsiTheme="majorBidi" w:cstheme="majorBidi"/>
          <w:sz w:val="24"/>
          <w:szCs w:val="24"/>
        </w:rPr>
        <w:t>proofed to be suitable</w:t>
      </w:r>
      <w:r w:rsidRPr="001C4005">
        <w:rPr>
          <w:rFonts w:asciiTheme="majorBidi" w:hAnsiTheme="majorBidi" w:cstheme="majorBidi"/>
          <w:sz w:val="24"/>
          <w:szCs w:val="24"/>
        </w:rPr>
        <w:t xml:space="preserve"> for selecting significant sensitive indicators</w:t>
      </w:r>
      <w:r>
        <w:rPr>
          <w:rFonts w:asciiTheme="majorBidi" w:hAnsiTheme="majorBidi" w:cstheme="majorBidi"/>
          <w:sz w:val="24"/>
          <w:szCs w:val="24"/>
        </w:rPr>
        <w:t xml:space="preserve"> to assess</w:t>
      </w:r>
      <w:r w:rsidRPr="001C4005">
        <w:rPr>
          <w:rFonts w:asciiTheme="majorBidi" w:hAnsiTheme="majorBidi" w:cstheme="majorBidi"/>
          <w:sz w:val="24"/>
          <w:szCs w:val="24"/>
        </w:rPr>
        <w:t xml:space="preserve"> the </w:t>
      </w:r>
      <w:r>
        <w:rPr>
          <w:rFonts w:asciiTheme="majorBidi" w:hAnsiTheme="majorBidi" w:cstheme="majorBidi"/>
          <w:sz w:val="24"/>
          <w:szCs w:val="24"/>
        </w:rPr>
        <w:t>impacts on environment and</w:t>
      </w:r>
      <w:r w:rsidRPr="001C400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living organism′s health</w:t>
      </w:r>
      <w:r w:rsidRPr="001C4005">
        <w:rPr>
          <w:rFonts w:asciiTheme="majorBidi" w:hAnsiTheme="majorBidi" w:cstheme="majorBidi"/>
          <w:sz w:val="24"/>
          <w:szCs w:val="24"/>
        </w:rPr>
        <w:t xml:space="preserve"> and therefore, improving this industry through a better decision making. </w:t>
      </w:r>
    </w:p>
    <w:p w14:paraId="333BCBFC" w14:textId="77777777" w:rsidR="00443B7F" w:rsidRPr="00443B7F" w:rsidRDefault="00443B7F">
      <w:pPr>
        <w:rPr>
          <w:lang w:bidi="ar-EG"/>
        </w:rPr>
      </w:pPr>
      <w:bookmarkStart w:id="1" w:name="_GoBack"/>
      <w:bookmarkEnd w:id="1"/>
    </w:p>
    <w:sectPr w:rsidR="00443B7F" w:rsidRPr="00443B7F" w:rsidSect="007016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7F"/>
    <w:rsid w:val="00443B7F"/>
    <w:rsid w:val="0070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061183"/>
  <w15:chartTrackingRefBased/>
  <w15:docId w15:val="{7AD0C7A0-8A88-4E0A-B8C0-2FB7F423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B7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EAA</dc:creator>
  <cp:keywords/>
  <dc:description/>
  <cp:lastModifiedBy>EAA</cp:lastModifiedBy>
  <cp:revision>1</cp:revision>
  <dcterms:created xsi:type="dcterms:W3CDTF">2019-05-12T22:17:00Z</dcterms:created>
  <dcterms:modified xsi:type="dcterms:W3CDTF">2019-05-12T22:18:00Z</dcterms:modified>
</cp:coreProperties>
</file>