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0A4C22" w:rsidP="00495C76">
      <w:pPr>
        <w:jc w:val="center"/>
        <w:rPr>
          <w:rFonts w:ascii="Times New Roman" w:hAnsi="Times New Roman" w:cs="Times New Roman"/>
          <w:b/>
          <w:noProof/>
          <w:sz w:val="32"/>
          <w:szCs w:val="32"/>
          <w:lang w:eastAsia="en-IN"/>
        </w:rPr>
      </w:pPr>
    </w:p>
    <w:p w:rsidR="00DF04E3" w:rsidRPr="00D055A6" w:rsidRDefault="00D055A6" w:rsidP="00495C76">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Chemical Toxicity; </w:t>
      </w:r>
      <w:r w:rsidR="00CB1C49">
        <w:rPr>
          <w:rFonts w:ascii="Times New Roman" w:hAnsi="Times New Roman" w:cs="Times New Roman"/>
          <w:b/>
          <w:sz w:val="24"/>
          <w:szCs w:val="24"/>
          <w:lang w:val="en-US"/>
        </w:rPr>
        <w:t>Exposure and Complications</w:t>
      </w:r>
    </w:p>
    <w:p w:rsidR="00DF04E3" w:rsidRPr="004A4405" w:rsidRDefault="00802441"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Abdullah Alrajeh</w:t>
      </w:r>
      <w:r w:rsidR="00E8069F">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sidR="00097A6D">
        <w:rPr>
          <w:rFonts w:ascii="Times New Roman" w:hAnsi="Times New Roman" w:cs="Times New Roman"/>
          <w:sz w:val="24"/>
          <w:u w:val="single"/>
        </w:rPr>
        <w:t>Abdulaziz Aldawas</w:t>
      </w:r>
      <w:r w:rsidR="00E8069F">
        <w:rPr>
          <w:rFonts w:ascii="Times New Roman" w:hAnsi="Times New Roman" w:cs="Times New Roman"/>
          <w:sz w:val="24"/>
          <w:u w:val="single"/>
          <w:vertAlign w:val="superscript"/>
        </w:rPr>
        <w:t>2</w:t>
      </w:r>
      <w:r w:rsidR="00B91510">
        <w:rPr>
          <w:rFonts w:ascii="Times New Roman" w:hAnsi="Times New Roman" w:cs="Times New Roman"/>
          <w:sz w:val="24"/>
          <w:u w:val="single"/>
          <w:vertAlign w:val="superscript"/>
        </w:rPr>
        <w:t xml:space="preserve"> </w:t>
      </w:r>
      <w:r w:rsidR="006E2C63">
        <w:rPr>
          <w:rFonts w:ascii="Times New Roman" w:hAnsi="Times New Roman" w:cs="Times New Roman"/>
          <w:sz w:val="24"/>
          <w:u w:val="single"/>
        </w:rPr>
        <w:t xml:space="preserve">, </w:t>
      </w:r>
      <w:r w:rsidR="00097A6D">
        <w:rPr>
          <w:rFonts w:ascii="Times New Roman" w:hAnsi="Times New Roman" w:cs="Times New Roman"/>
          <w:sz w:val="24"/>
          <w:u w:val="single"/>
        </w:rPr>
        <w:t xml:space="preserve">Mohammed </w:t>
      </w:r>
      <w:proofErr w:type="spellStart"/>
      <w:r w:rsidR="00097A6D">
        <w:rPr>
          <w:rFonts w:ascii="Times New Roman" w:hAnsi="Times New Roman" w:cs="Times New Roman"/>
          <w:sz w:val="24"/>
          <w:u w:val="single"/>
        </w:rPr>
        <w:t>Alzayed</w:t>
      </w:r>
      <w:r w:rsidR="00B91510">
        <w:rPr>
          <w:rFonts w:ascii="Times New Roman" w:hAnsi="Times New Roman" w:cs="Times New Roman"/>
          <w:sz w:val="24"/>
          <w:u w:val="single"/>
          <w:vertAlign w:val="superscript"/>
        </w:rPr>
        <w:t>3</w:t>
      </w:r>
      <w:proofErr w:type="spellEnd"/>
      <w:r w:rsidR="00097A6D">
        <w:rPr>
          <w:rFonts w:ascii="Times New Roman" w:hAnsi="Times New Roman" w:cs="Times New Roman"/>
          <w:sz w:val="24"/>
          <w:u w:val="single"/>
        </w:rPr>
        <w:t xml:space="preserve">, </w:t>
      </w:r>
      <w:r w:rsidR="0074020D">
        <w:rPr>
          <w:rFonts w:ascii="Times New Roman" w:hAnsi="Times New Roman" w:cs="Times New Roman"/>
          <w:sz w:val="24"/>
          <w:u w:val="single"/>
        </w:rPr>
        <w:t>Mohammed Aldeeb</w:t>
      </w:r>
      <w:r w:rsidR="00B91510">
        <w:rPr>
          <w:rFonts w:ascii="Times New Roman" w:hAnsi="Times New Roman" w:cs="Times New Roman"/>
          <w:sz w:val="24"/>
          <w:u w:val="single"/>
          <w:vertAlign w:val="superscript"/>
        </w:rPr>
        <w:t>4</w:t>
      </w:r>
      <w:r w:rsidR="0074020D">
        <w:rPr>
          <w:rFonts w:ascii="Times New Roman" w:hAnsi="Times New Roman" w:cs="Times New Roman"/>
          <w:sz w:val="24"/>
          <w:u w:val="single"/>
        </w:rPr>
        <w:t xml:space="preserve">, Abdullah </w:t>
      </w:r>
      <w:proofErr w:type="spellStart"/>
      <w:r w:rsidR="0074020D">
        <w:rPr>
          <w:rFonts w:ascii="Times New Roman" w:hAnsi="Times New Roman" w:cs="Times New Roman"/>
          <w:sz w:val="24"/>
          <w:u w:val="single"/>
        </w:rPr>
        <w:t>Alabdali</w:t>
      </w:r>
      <w:r w:rsidR="00B91510">
        <w:rPr>
          <w:rFonts w:ascii="Times New Roman" w:hAnsi="Times New Roman" w:cs="Times New Roman"/>
          <w:sz w:val="24"/>
          <w:u w:val="single"/>
          <w:vertAlign w:val="superscript"/>
        </w:rPr>
        <w:t>5</w:t>
      </w:r>
      <w:proofErr w:type="spellEnd"/>
      <w:r w:rsidR="004A4405">
        <w:rPr>
          <w:rFonts w:ascii="Times New Roman" w:hAnsi="Times New Roman" w:cs="Times New Roman"/>
          <w:sz w:val="24"/>
          <w:u w:val="single"/>
          <w:vertAlign w:val="superscript"/>
        </w:rPr>
        <w:t xml:space="preserve"> </w:t>
      </w:r>
      <w:r w:rsidR="004A4405">
        <w:rPr>
          <w:rFonts w:ascii="Times New Roman" w:hAnsi="Times New Roman" w:cs="Times New Roman"/>
          <w:sz w:val="24"/>
          <w:u w:val="single"/>
        </w:rPr>
        <w:t>.</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6E2C63">
        <w:rPr>
          <w:rFonts w:ascii="Times New Roman" w:hAnsi="Times New Roman" w:cs="Times New Roman"/>
          <w:i/>
          <w:iCs/>
          <w:sz w:val="24"/>
        </w:rPr>
        <w:t>King Saud bin Abdulaziz University for Health Sciences</w:t>
      </w:r>
      <w:r w:rsidR="003753EF">
        <w:rPr>
          <w:rFonts w:ascii="Times New Roman" w:hAnsi="Times New Roman" w:cs="Times New Roman"/>
          <w:i/>
          <w:iCs/>
          <w:sz w:val="24"/>
        </w:rPr>
        <w:t>, Riyadh, Saudi Arabia</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263CC6">
        <w:rPr>
          <w:rFonts w:ascii="Times New Roman" w:hAnsi="Times New Roman" w:cs="Times New Roman"/>
          <w:i/>
          <w:iCs/>
          <w:sz w:val="24"/>
        </w:rPr>
        <w:t>King Abdulaziz Medical City, Riyadh, Saudi Arabia</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0E5B01" w:rsidRPr="000E5B01">
        <w:rPr>
          <w:rFonts w:ascii="Times New Roman" w:hAnsi="Times New Roman" w:cs="Times New Roman"/>
          <w:i/>
          <w:iCs/>
          <w:sz w:val="24"/>
        </w:rPr>
        <w:t xml:space="preserve"> </w:t>
      </w:r>
      <w:r w:rsidR="000E5B01">
        <w:rPr>
          <w:rFonts w:ascii="Times New Roman" w:hAnsi="Times New Roman" w:cs="Times New Roman"/>
          <w:i/>
          <w:iCs/>
          <w:sz w:val="24"/>
        </w:rPr>
        <w:t>King Saud bin Abdulaziz University for Health Sciences, Riyadh, Saudi Arabia</w:t>
      </w:r>
      <w:r w:rsidR="00435234">
        <w:rPr>
          <w:rFonts w:ascii="Times New Roman" w:hAnsi="Times New Roman" w:cs="Times New Roman"/>
          <w:i/>
          <w:iCs/>
          <w:sz w:val="24"/>
        </w:rPr>
        <w:t>)</w:t>
      </w:r>
    </w:p>
    <w:p w:rsidR="000F1A33" w:rsidRDefault="000F1A33" w:rsidP="0028059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4 </w:t>
      </w:r>
      <w:r>
        <w:rPr>
          <w:rFonts w:ascii="Times New Roman" w:hAnsi="Times New Roman" w:cs="Times New Roman"/>
          <w:i/>
          <w:iCs/>
          <w:sz w:val="24"/>
        </w:rPr>
        <w:t xml:space="preserve">Fourth Author Affiliation ( </w:t>
      </w:r>
      <w:r w:rsidR="00955E74">
        <w:rPr>
          <w:rFonts w:ascii="Times New Roman" w:hAnsi="Times New Roman" w:cs="Times New Roman"/>
          <w:i/>
          <w:iCs/>
          <w:sz w:val="24"/>
        </w:rPr>
        <w:t>King Saud bin Abdulaziz University for Health Sciences, Riyadh, Saudi Arabia</w:t>
      </w:r>
      <w:r w:rsidR="00955E74">
        <w:rPr>
          <w:rFonts w:ascii="Times New Roman" w:hAnsi="Times New Roman" w:cs="Times New Roman"/>
          <w:i/>
          <w:iCs/>
          <w:sz w:val="24"/>
        </w:rPr>
        <w:t>)</w:t>
      </w:r>
    </w:p>
    <w:p w:rsidR="00955E74" w:rsidRPr="00955E74" w:rsidRDefault="00955E74" w:rsidP="0028059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5 </w:t>
      </w:r>
      <w:r>
        <w:rPr>
          <w:rFonts w:ascii="Times New Roman" w:hAnsi="Times New Roman" w:cs="Times New Roman"/>
          <w:i/>
          <w:iCs/>
          <w:sz w:val="24"/>
        </w:rPr>
        <w:t xml:space="preserve">Fifth Author Affiliation ( </w:t>
      </w:r>
      <w:r>
        <w:rPr>
          <w:rFonts w:ascii="Times New Roman" w:hAnsi="Times New Roman" w:cs="Times New Roman"/>
          <w:i/>
          <w:iCs/>
          <w:sz w:val="24"/>
        </w:rPr>
        <w:t>King Saud bin Abdulaziz University for Health Sciences, Riyadh, Saudi Arabia</w:t>
      </w:r>
      <w:r>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28059F" w:rsidRDefault="007F30E2" w:rsidP="00534621">
      <w:pPr>
        <w:pStyle w:val="HTMLPreformatted"/>
        <w:jc w:val="both"/>
        <w:rPr>
          <w:rFonts w:ascii="Times New Roman" w:hAnsi="Times New Roman" w:cs="Times New Roman"/>
          <w:sz w:val="24"/>
        </w:rPr>
      </w:pPr>
      <w:r w:rsidRPr="007F30E2">
        <w:rPr>
          <w:rFonts w:ascii="Times New Roman" w:hAnsi="Times New Roman" w:cs="Times New Roman"/>
          <w:sz w:val="24"/>
        </w:rPr>
        <w:t xml:space="preserve">Chemical intoxication is showing undesirable signs and symptoms that might be mild to severe an may end with death. This research is aimed to clarify the prevalence of chemical toxicity </w:t>
      </w:r>
      <w:r w:rsidR="00B90961" w:rsidRPr="007F30E2">
        <w:rPr>
          <w:rFonts w:ascii="Times New Roman" w:hAnsi="Times New Roman" w:cs="Times New Roman"/>
          <w:sz w:val="24"/>
        </w:rPr>
        <w:t>patients</w:t>
      </w:r>
      <w:r w:rsidRPr="007F30E2">
        <w:rPr>
          <w:rFonts w:ascii="Times New Roman" w:hAnsi="Times New Roman" w:cs="Times New Roman"/>
          <w:sz w:val="24"/>
        </w:rPr>
        <w:t xml:space="preserve"> in King Abdulaziz Medical City (KAMC), and their way of exposure to determine if it is inhaled, absorbed, ingested or injected. Finally, in this research we evaluated the demographics of the patients that presented to the ER.</w:t>
      </w:r>
      <w:r w:rsidR="00534621">
        <w:rPr>
          <w:rFonts w:ascii="Times New Roman" w:hAnsi="Times New Roman" w:cs="Times New Roman"/>
          <w:sz w:val="24"/>
        </w:rPr>
        <w:t xml:space="preserve"> Also, </w:t>
      </w:r>
      <w:r w:rsidRPr="007F30E2">
        <w:rPr>
          <w:rFonts w:ascii="Times New Roman" w:hAnsi="Times New Roman" w:cs="Times New Roman"/>
          <w:sz w:val="24"/>
        </w:rPr>
        <w:t>The study design will be a quantitative retrospective cohort study. The study was conducted in the Department of Emergency in KAMC – Riyadh. Sample size was 250 patients, and the sample technique was consecutive sampling. The data collected was entered in MS Excel and SPSS program.</w:t>
      </w:r>
      <w:r w:rsidR="00534621">
        <w:rPr>
          <w:rFonts w:ascii="Times New Roman" w:hAnsi="Times New Roman" w:cs="Times New Roman"/>
          <w:sz w:val="24"/>
        </w:rPr>
        <w:t xml:space="preserve"> The </w:t>
      </w:r>
      <w:r w:rsidR="00D0366E">
        <w:rPr>
          <w:rFonts w:ascii="Times New Roman" w:hAnsi="Times New Roman" w:cs="Times New Roman"/>
          <w:sz w:val="24"/>
        </w:rPr>
        <w:t xml:space="preserve">results are, a </w:t>
      </w:r>
      <w:r w:rsidRPr="007F30E2">
        <w:rPr>
          <w:rFonts w:ascii="Times New Roman" w:hAnsi="Times New Roman" w:cs="Times New Roman"/>
          <w:sz w:val="24"/>
        </w:rPr>
        <w:t xml:space="preserve">total of 250 patients were included in the study, and 141 of those patients were females (56%). Out of 250 patients, 186 patients (74.4%) were </w:t>
      </w:r>
      <w:proofErr w:type="spellStart"/>
      <w:r w:rsidRPr="007F30E2">
        <w:rPr>
          <w:rFonts w:ascii="Times New Roman" w:hAnsi="Times New Roman" w:cs="Times New Roman"/>
          <w:sz w:val="24"/>
        </w:rPr>
        <w:t>pediatrics</w:t>
      </w:r>
      <w:proofErr w:type="spellEnd"/>
      <w:r w:rsidRPr="007F30E2">
        <w:rPr>
          <w:rFonts w:ascii="Times New Roman" w:hAnsi="Times New Roman" w:cs="Times New Roman"/>
          <w:sz w:val="24"/>
        </w:rPr>
        <w:t xml:space="preserve">. the </w:t>
      </w:r>
      <w:proofErr w:type="spellStart"/>
      <w:r w:rsidRPr="007F30E2">
        <w:rPr>
          <w:rFonts w:ascii="Times New Roman" w:hAnsi="Times New Roman" w:cs="Times New Roman"/>
          <w:sz w:val="24"/>
        </w:rPr>
        <w:t>pediatric</w:t>
      </w:r>
      <w:proofErr w:type="spellEnd"/>
      <w:r w:rsidRPr="007F30E2">
        <w:rPr>
          <w:rFonts w:ascii="Times New Roman" w:hAnsi="Times New Roman" w:cs="Times New Roman"/>
          <w:sz w:val="24"/>
        </w:rPr>
        <w:t xml:space="preserve">/adult ratio was 2.90/1. The analysis showed that in 178 </w:t>
      </w:r>
      <w:r w:rsidR="00187BF8" w:rsidRPr="007F30E2">
        <w:rPr>
          <w:rFonts w:ascii="Times New Roman" w:hAnsi="Times New Roman" w:cs="Times New Roman"/>
          <w:sz w:val="24"/>
        </w:rPr>
        <w:t>patients</w:t>
      </w:r>
      <w:r w:rsidRPr="007F30E2">
        <w:rPr>
          <w:rFonts w:ascii="Times New Roman" w:hAnsi="Times New Roman" w:cs="Times New Roman"/>
          <w:sz w:val="24"/>
        </w:rPr>
        <w:t xml:space="preserve"> (71.2%) the cause of </w:t>
      </w:r>
      <w:r w:rsidR="00187BF8" w:rsidRPr="007F30E2">
        <w:rPr>
          <w:rFonts w:ascii="Times New Roman" w:hAnsi="Times New Roman" w:cs="Times New Roman"/>
          <w:sz w:val="24"/>
        </w:rPr>
        <w:t>poisonings</w:t>
      </w:r>
      <w:r w:rsidRPr="007F30E2">
        <w:rPr>
          <w:rFonts w:ascii="Times New Roman" w:hAnsi="Times New Roman" w:cs="Times New Roman"/>
          <w:sz w:val="24"/>
        </w:rPr>
        <w:t xml:space="preserve"> was medications, in 10 patients (4%) snakes and scorpions bites, in 8 </w:t>
      </w:r>
      <w:r w:rsidR="00187BF8" w:rsidRPr="007F30E2">
        <w:rPr>
          <w:rFonts w:ascii="Times New Roman" w:hAnsi="Times New Roman" w:cs="Times New Roman"/>
          <w:sz w:val="24"/>
        </w:rPr>
        <w:t>patients</w:t>
      </w:r>
      <w:r w:rsidRPr="007F30E2">
        <w:rPr>
          <w:rFonts w:ascii="Times New Roman" w:hAnsi="Times New Roman" w:cs="Times New Roman"/>
          <w:sz w:val="24"/>
        </w:rPr>
        <w:t xml:space="preserve"> (3.2%) a caustic </w:t>
      </w:r>
      <w:r w:rsidR="00187BF8" w:rsidRPr="007F30E2">
        <w:rPr>
          <w:rFonts w:ascii="Times New Roman" w:hAnsi="Times New Roman" w:cs="Times New Roman"/>
          <w:sz w:val="24"/>
        </w:rPr>
        <w:t>substance</w:t>
      </w:r>
      <w:r w:rsidRPr="007F30E2">
        <w:rPr>
          <w:rFonts w:ascii="Times New Roman" w:hAnsi="Times New Roman" w:cs="Times New Roman"/>
          <w:sz w:val="24"/>
        </w:rPr>
        <w:t xml:space="preserve"> and organophosphate, in 5 patients (2%) rat poison, in 3 patients(1.2%) CO poisoning, in 33 patients (13.2%) </w:t>
      </w:r>
      <w:r w:rsidR="00B90961" w:rsidRPr="007F30E2">
        <w:rPr>
          <w:rFonts w:ascii="Times New Roman" w:hAnsi="Times New Roman" w:cs="Times New Roman"/>
          <w:sz w:val="24"/>
        </w:rPr>
        <w:t>foreign</w:t>
      </w:r>
      <w:r w:rsidRPr="007F30E2">
        <w:rPr>
          <w:rFonts w:ascii="Times New Roman" w:hAnsi="Times New Roman" w:cs="Times New Roman"/>
          <w:sz w:val="24"/>
        </w:rPr>
        <w:t xml:space="preserve"> bodies includes </w:t>
      </w:r>
      <w:r w:rsidR="00B90961" w:rsidRPr="007F30E2">
        <w:rPr>
          <w:rFonts w:ascii="Times New Roman" w:hAnsi="Times New Roman" w:cs="Times New Roman"/>
          <w:sz w:val="24"/>
        </w:rPr>
        <w:t>cosmetics</w:t>
      </w:r>
      <w:r w:rsidRPr="007F30E2">
        <w:rPr>
          <w:rFonts w:ascii="Times New Roman" w:hAnsi="Times New Roman" w:cs="Times New Roman"/>
          <w:sz w:val="24"/>
        </w:rPr>
        <w:t xml:space="preserve"> products and others found at houses, and there were 13 patients (5.2%) suspected to have toxins. Out of the 250 patients, there were no complications in 202 patients (80.8%), in 48 patients (19.2%) there were some complications, such as Q&amp;T wave changes and heart blocks, but no death cases has been recorded.</w:t>
      </w:r>
      <w:r>
        <w:rPr>
          <w:rFonts w:ascii="Times New Roman" w:hAnsi="Times New Roman" w:cs="Times New Roman"/>
          <w:sz w:val="24"/>
        </w:rPr>
        <w:t xml:space="preserve"> In conclusion, </w:t>
      </w:r>
      <w:r w:rsidRPr="007F30E2">
        <w:rPr>
          <w:rFonts w:ascii="Times New Roman" w:hAnsi="Times New Roman" w:cs="Times New Roman"/>
          <w:sz w:val="24"/>
        </w:rPr>
        <w:t xml:space="preserve">The result of the study shows that, chemical poisoning are more common in </w:t>
      </w:r>
      <w:proofErr w:type="spellStart"/>
      <w:r w:rsidRPr="007F30E2">
        <w:rPr>
          <w:rFonts w:ascii="Times New Roman" w:hAnsi="Times New Roman" w:cs="Times New Roman"/>
          <w:sz w:val="24"/>
        </w:rPr>
        <w:t>pediatrics</w:t>
      </w:r>
      <w:proofErr w:type="spellEnd"/>
      <w:r w:rsidRPr="007F30E2">
        <w:rPr>
          <w:rFonts w:ascii="Times New Roman" w:hAnsi="Times New Roman" w:cs="Times New Roman"/>
          <w:sz w:val="24"/>
        </w:rPr>
        <w:t xml:space="preserve"> than adults and females than males, and the most common type is by medications. Finally, parents should be educated more to keep medications out of reach from children, psychotic patients and suicidal members.</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CA6AF5">
        <w:rPr>
          <w:rFonts w:ascii="Times New Roman" w:hAnsi="Times New Roman" w:cs="Times New Roman"/>
          <w:i/>
          <w:sz w:val="24"/>
        </w:rPr>
        <w:t xml:space="preserve"> </w:t>
      </w:r>
      <w:r w:rsidR="00037A01">
        <w:rPr>
          <w:rFonts w:ascii="Times New Roman" w:hAnsi="Times New Roman" w:cs="Times New Roman"/>
          <w:i/>
          <w:sz w:val="24"/>
        </w:rPr>
        <w:t xml:space="preserve">toxin, </w:t>
      </w:r>
      <w:r w:rsidR="007707CF">
        <w:rPr>
          <w:rFonts w:ascii="Times New Roman" w:hAnsi="Times New Roman" w:cs="Times New Roman"/>
          <w:i/>
          <w:sz w:val="24"/>
        </w:rPr>
        <w:t xml:space="preserve">medication, </w:t>
      </w:r>
      <w:proofErr w:type="spellStart"/>
      <w:r w:rsidR="007707CF">
        <w:rPr>
          <w:rFonts w:ascii="Times New Roman" w:hAnsi="Times New Roman" w:cs="Times New Roman"/>
          <w:i/>
          <w:sz w:val="24"/>
        </w:rPr>
        <w:t>pediatrics</w:t>
      </w:r>
      <w:proofErr w:type="spellEnd"/>
      <w:r w:rsidR="007707CF">
        <w:rPr>
          <w:rFonts w:ascii="Times New Roman" w:hAnsi="Times New Roman" w:cs="Times New Roman"/>
          <w:i/>
          <w:sz w:val="24"/>
        </w:rPr>
        <w:t>, adults.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0C24C4" w:rsidP="00DF04E3">
      <w:pPr>
        <w:pStyle w:val="HTMLPreformatted"/>
        <w:jc w:val="both"/>
        <w:rPr>
          <w:rFonts w:ascii="Times New Roman" w:hAnsi="Times New Roman" w:cs="Times New Roman"/>
          <w:iCs/>
          <w:sz w:val="24"/>
        </w:rPr>
      </w:pPr>
      <w:r w:rsidRPr="000C24C4">
        <w:rPr>
          <w:rFonts w:ascii="Times New Roman" w:hAnsi="Times New Roman" w:cs="Times New Roman"/>
          <w:iCs/>
          <w:sz w:val="24"/>
        </w:rPr>
        <w:t xml:space="preserve">Abdullah Alrajeh is an Emergency Medical Services intern at King Abdulaziz Medical City - Riyadh. He is from King Saud bin Abdulaziz University for Health Sciences - Riyadh, </w:t>
      </w:r>
      <w:r w:rsidRPr="000C24C4">
        <w:rPr>
          <w:rFonts w:ascii="Times New Roman" w:hAnsi="Times New Roman" w:cs="Times New Roman"/>
          <w:iCs/>
          <w:sz w:val="24"/>
        </w:rPr>
        <w:lastRenderedPageBreak/>
        <w:t xml:space="preserve">currently in the internship year. His current research is Chemical Toxicity, Exposure and Complications. He is interested in toxicology in the emergency field.    </w:t>
      </w:r>
    </w:p>
    <w:p w:rsidR="00B3082B" w:rsidRDefault="00EF4ECF" w:rsidP="00DF04E3">
      <w:pPr>
        <w:pStyle w:val="HTMLPreformatted"/>
        <w:jc w:val="both"/>
        <w:rPr>
          <w:rFonts w:ascii="Times New Roman" w:hAnsi="Times New Roman" w:cs="Times New Roman"/>
          <w:iCs/>
          <w:sz w:val="24"/>
        </w:rPr>
      </w:pPr>
      <w:r>
        <w:rPr>
          <w:noProof/>
          <w:lang w:val="en-IN" w:eastAsia="en-IN"/>
        </w:rPr>
        <w:drawing>
          <wp:anchor distT="0" distB="0" distL="114300" distR="114300" simplePos="0" relativeHeight="251659264" behindDoc="0" locked="0" layoutInCell="1" allowOverlap="1">
            <wp:simplePos x="0" y="0"/>
            <wp:positionH relativeFrom="column">
              <wp:posOffset>0</wp:posOffset>
            </wp:positionH>
            <wp:positionV relativeFrom="paragraph">
              <wp:posOffset>334645</wp:posOffset>
            </wp:positionV>
            <wp:extent cx="788035" cy="9715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8035" cy="971550"/>
                    </a:xfrm>
                    <a:prstGeom prst="rect">
                      <a:avLst/>
                    </a:prstGeom>
                  </pic:spPr>
                </pic:pic>
              </a:graphicData>
            </a:graphic>
            <wp14:sizeRelH relativeFrom="margin">
              <wp14:pctWidth>0</wp14:pctWidth>
            </wp14:sizeRelH>
            <wp14:sizeRelV relativeFrom="margin">
              <wp14:pctHeight>0</wp14:pctHeight>
            </wp14:sizeRelV>
          </wp:anchor>
        </w:drawing>
      </w:r>
    </w:p>
    <w:p w:rsidR="00B3082B" w:rsidRDefault="004D5E9E" w:rsidP="00B3082B">
      <w:pPr>
        <w:pStyle w:val="HTMLPreformatted"/>
        <w:jc w:val="both"/>
        <w:rPr>
          <w:rFonts w:ascii="Times New Roman" w:hAnsi="Times New Roman" w:cs="Times New Roman"/>
          <w:b/>
          <w:iCs/>
          <w:sz w:val="24"/>
        </w:rPr>
      </w:pPr>
      <w:r>
        <w:rPr>
          <w:noProof/>
          <w:lang w:val="en-IN" w:eastAsia="en-IN"/>
        </w:rPr>
        <w:tab/>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7A6558">
        <w:rPr>
          <w:rFonts w:ascii="Times New Roman" w:hAnsi="Times New Roman" w:cs="Times New Roman"/>
          <w:iCs/>
          <w:sz w:val="24"/>
        </w:rPr>
        <w:t xml:space="preserve"> As8-9-2010@hotmail.com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A30108">
        <w:rPr>
          <w:rFonts w:ascii="Times New Roman" w:hAnsi="Times New Roman" w:cs="Times New Roman"/>
          <w:b/>
          <w:sz w:val="24"/>
          <w:szCs w:val="24"/>
        </w:rPr>
        <w:t>:</w:t>
      </w:r>
    </w:p>
    <w:p w:rsidR="00A30108" w:rsidRPr="00495C76" w:rsidRDefault="00A30108" w:rsidP="002350BC">
      <w:pPr>
        <w:rPr>
          <w:rFonts w:ascii="Times New Roman" w:hAnsi="Times New Roman" w:cs="Times New Roman"/>
          <w:b/>
          <w:sz w:val="24"/>
          <w:szCs w:val="24"/>
        </w:rPr>
      </w:pPr>
      <w:r>
        <w:rPr>
          <w:rFonts w:ascii="Times New Roman" w:hAnsi="Times New Roman" w:cs="Times New Roman"/>
          <w:b/>
          <w:sz w:val="24"/>
          <w:szCs w:val="24"/>
        </w:rPr>
        <w:t>Looking forward for the conference.</w:t>
      </w:r>
      <w:bookmarkStart w:id="0" w:name="_GoBack"/>
      <w:bookmarkEnd w:id="0"/>
    </w:p>
    <w:sectPr w:rsidR="00A30108"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13CB" w:rsidRDefault="006113CB" w:rsidP="00495C76">
      <w:pPr>
        <w:spacing w:after="0" w:line="240" w:lineRule="auto"/>
      </w:pPr>
      <w:r>
        <w:separator/>
      </w:r>
    </w:p>
  </w:endnote>
  <w:endnote w:type="continuationSeparator" w:id="0">
    <w:p w:rsidR="006113CB" w:rsidRDefault="006113C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13CB" w:rsidRDefault="006113CB" w:rsidP="00495C76">
      <w:pPr>
        <w:spacing w:after="0" w:line="240" w:lineRule="auto"/>
      </w:pPr>
      <w:r>
        <w:separator/>
      </w:r>
    </w:p>
  </w:footnote>
  <w:footnote w:type="continuationSeparator" w:id="0">
    <w:p w:rsidR="006113CB" w:rsidRDefault="006113C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37A01"/>
    <w:rsid w:val="00097A6D"/>
    <w:rsid w:val="000A4C22"/>
    <w:rsid w:val="000C24C4"/>
    <w:rsid w:val="000E5B01"/>
    <w:rsid w:val="000F1A33"/>
    <w:rsid w:val="00187BF8"/>
    <w:rsid w:val="002350BC"/>
    <w:rsid w:val="00263CC6"/>
    <w:rsid w:val="0028059F"/>
    <w:rsid w:val="002F4DF0"/>
    <w:rsid w:val="00333E31"/>
    <w:rsid w:val="003753EF"/>
    <w:rsid w:val="0038483D"/>
    <w:rsid w:val="003A4F6E"/>
    <w:rsid w:val="00435234"/>
    <w:rsid w:val="00495C76"/>
    <w:rsid w:val="004A4405"/>
    <w:rsid w:val="004D5E9E"/>
    <w:rsid w:val="00534621"/>
    <w:rsid w:val="005C119D"/>
    <w:rsid w:val="006113CB"/>
    <w:rsid w:val="00627419"/>
    <w:rsid w:val="006C057D"/>
    <w:rsid w:val="006E2C63"/>
    <w:rsid w:val="0074020D"/>
    <w:rsid w:val="007707CF"/>
    <w:rsid w:val="007A6558"/>
    <w:rsid w:val="007F30E2"/>
    <w:rsid w:val="00802441"/>
    <w:rsid w:val="00812BF9"/>
    <w:rsid w:val="008E1B52"/>
    <w:rsid w:val="00955E74"/>
    <w:rsid w:val="009A7F79"/>
    <w:rsid w:val="00A30108"/>
    <w:rsid w:val="00B3082B"/>
    <w:rsid w:val="00B6703B"/>
    <w:rsid w:val="00B90961"/>
    <w:rsid w:val="00B91510"/>
    <w:rsid w:val="00BA654F"/>
    <w:rsid w:val="00CA6AF5"/>
    <w:rsid w:val="00CB1C49"/>
    <w:rsid w:val="00CE511D"/>
    <w:rsid w:val="00D0366E"/>
    <w:rsid w:val="00D055A6"/>
    <w:rsid w:val="00DF04E3"/>
    <w:rsid w:val="00E8069F"/>
    <w:rsid w:val="00EC2CCD"/>
    <w:rsid w:val="00EF4EC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365492"/>
  <w15:docId w15:val="{01293E43-905C-6C4E-BDD0-E631D32FC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Abdullah SuhailI Alrajeh</cp:lastModifiedBy>
  <cp:revision>32</cp:revision>
  <dcterms:created xsi:type="dcterms:W3CDTF">2019-02-19T09:09:00Z</dcterms:created>
  <dcterms:modified xsi:type="dcterms:W3CDTF">2019-02-19T09:44:00Z</dcterms:modified>
</cp:coreProperties>
</file>