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Abstract</w:t>
      </w:r>
    </w:p>
    <w:p>
      <w:pPr>
        <w:pStyle w:val="Normal"/>
        <w:rPr/>
      </w:pPr>
      <w:r>
        <w:rPr/>
      </w:r>
    </w:p>
    <w:p>
      <w:pPr>
        <w:pStyle w:val="Normal"/>
        <w:rPr/>
      </w:pPr>
      <w:r>
        <w:rPr/>
      </w:r>
    </w:p>
    <w:p>
      <w:pPr>
        <w:pStyle w:val="Normal"/>
        <w:rPr/>
      </w:pPr>
      <w:r>
        <w:rPr/>
        <w:t xml:space="preserve">Title:  </w:t>
      </w:r>
      <w:r>
        <w:rPr>
          <w:b/>
          <w:bCs/>
          <w:color w:val="000000"/>
          <w:sz w:val="28"/>
          <w:szCs w:val="28"/>
        </w:rPr>
        <w:t xml:space="preserve">Induction of Hepatic Regeneration in an Experimental Model Using Hepatocyte Differentiated MSCs </w:t>
      </w:r>
    </w:p>
    <w:p>
      <w:pPr>
        <w:pStyle w:val="Normal"/>
        <w:rPr>
          <w:b/>
          <w:b/>
          <w:bCs/>
          <w:color w:val="000000"/>
          <w:sz w:val="28"/>
          <w:szCs w:val="28"/>
        </w:rPr>
      </w:pPr>
      <w:r>
        <w:rPr/>
      </w:r>
    </w:p>
    <w:p>
      <w:pPr>
        <w:pStyle w:val="Normal"/>
        <w:spacing w:lineRule="auto" w:line="240" w:before="0" w:after="0"/>
        <w:jc w:val="both"/>
        <w:rPr/>
      </w:pPr>
      <w:r>
        <w:rPr>
          <w:rFonts w:eastAsia="Times New Roman" w:cs="Times New Roman" w:ascii="Times New Roman" w:hAnsi="Times New Roman"/>
          <w:i/>
          <w:sz w:val="25"/>
          <w:szCs w:val="25"/>
          <w:lang w:eastAsia="en-IN"/>
        </w:rPr>
        <w:t>Author Name</w:t>
      </w:r>
      <w:r>
        <w:rPr>
          <w:rFonts w:eastAsia="Times New Roman" w:cs="Times New Roman" w:ascii="Times New Roman" w:hAnsi="Times New Roman"/>
          <w:sz w:val="25"/>
          <w:szCs w:val="25"/>
          <w:lang w:eastAsia="en-IN"/>
        </w:rPr>
        <w:t xml:space="preserve">: </w:t>
      </w:r>
      <w:r>
        <w:rPr>
          <w:rFonts w:eastAsia="Times New Roman" w:cs="Times New Roman" w:ascii="Times New Roman" w:hAnsi="Times New Roman"/>
          <w:sz w:val="25"/>
          <w:szCs w:val="25"/>
          <w:lang w:eastAsia="en-IN"/>
        </w:rPr>
        <w:t>Prof Dr Taghrid Gaafar</w:t>
      </w:r>
    </w:p>
    <w:p>
      <w:pPr>
        <w:pStyle w:val="Normal"/>
        <w:spacing w:lineRule="auto" w:line="240" w:before="0" w:after="0"/>
        <w:jc w:val="both"/>
        <w:rPr>
          <w:rFonts w:ascii="Times New Roman" w:hAnsi="Times New Roman" w:eastAsia="Times New Roman" w:cs="Times New Roman"/>
          <w:sz w:val="25"/>
          <w:szCs w:val="25"/>
          <w:lang w:eastAsia="en-IN"/>
        </w:rPr>
      </w:pPr>
      <w:r>
        <w:rPr/>
      </w:r>
    </w:p>
    <w:p>
      <w:pPr>
        <w:pStyle w:val="Normal"/>
        <w:spacing w:lineRule="auto" w:line="240" w:before="0" w:after="0"/>
        <w:jc w:val="both"/>
        <w:rPr/>
      </w:pPr>
      <w:r>
        <w:rPr>
          <w:rFonts w:eastAsia="Times New Roman" w:cs="Times New Roman" w:ascii="Times New Roman" w:hAnsi="Times New Roman"/>
          <w:i/>
          <w:sz w:val="25"/>
          <w:szCs w:val="25"/>
          <w:lang w:eastAsia="en-IN"/>
        </w:rPr>
        <w:t>Affiliation</w:t>
      </w:r>
      <w:r>
        <w:rPr>
          <w:rFonts w:eastAsia="Times New Roman" w:cs="Times New Roman" w:ascii="Times New Roman" w:hAnsi="Times New Roman"/>
          <w:sz w:val="25"/>
          <w:szCs w:val="25"/>
          <w:lang w:eastAsia="en-IN"/>
        </w:rPr>
        <w:t xml:space="preserve">: </w:t>
      </w:r>
      <w:r>
        <w:rPr>
          <w:rFonts w:eastAsia="Times New Roman" w:cs="Times New Roman" w:ascii="Times New Roman" w:hAnsi="Times New Roman"/>
          <w:sz w:val="25"/>
          <w:szCs w:val="25"/>
          <w:lang w:eastAsia="en-IN"/>
        </w:rPr>
        <w:t xml:space="preserve">Clinical </w:t>
      </w:r>
      <w:r>
        <w:rPr>
          <w:rFonts w:eastAsia="Times New Roman" w:cs="Times New Roman" w:ascii="Times New Roman" w:hAnsi="Times New Roman"/>
          <w:sz w:val="25"/>
          <w:szCs w:val="25"/>
          <w:lang w:eastAsia="en-IN"/>
        </w:rPr>
        <w:t>P</w:t>
      </w:r>
      <w:r>
        <w:rPr>
          <w:rFonts w:eastAsia="Times New Roman" w:cs="Times New Roman" w:ascii="Times New Roman" w:hAnsi="Times New Roman"/>
          <w:sz w:val="25"/>
          <w:szCs w:val="25"/>
          <w:lang w:eastAsia="en-IN"/>
        </w:rPr>
        <w:t xml:space="preserve">athology </w:t>
      </w:r>
      <w:r>
        <w:rPr>
          <w:rFonts w:eastAsia="Times New Roman" w:cs="Times New Roman" w:ascii="Times New Roman" w:hAnsi="Times New Roman"/>
          <w:sz w:val="25"/>
          <w:szCs w:val="25"/>
          <w:lang w:eastAsia="en-IN"/>
        </w:rPr>
        <w:t>D</w:t>
      </w:r>
      <w:r>
        <w:rPr>
          <w:rFonts w:eastAsia="Times New Roman" w:cs="Times New Roman" w:ascii="Times New Roman" w:hAnsi="Times New Roman"/>
          <w:sz w:val="25"/>
          <w:szCs w:val="25"/>
          <w:lang w:eastAsia="en-IN"/>
        </w:rPr>
        <w:t>epartment, Faculty of medicine .</w:t>
      </w:r>
    </w:p>
    <w:p>
      <w:pPr>
        <w:pStyle w:val="Normal"/>
        <w:spacing w:lineRule="auto" w:line="240" w:before="0" w:after="0"/>
        <w:jc w:val="both"/>
        <w:rPr>
          <w:rFonts w:ascii="Times New Roman" w:hAnsi="Times New Roman" w:eastAsia="Times New Roman" w:cs="Times New Roman"/>
          <w:sz w:val="25"/>
          <w:szCs w:val="25"/>
          <w:lang w:eastAsia="en-IN"/>
        </w:rPr>
      </w:pPr>
      <w:r>
        <w:rPr/>
      </w:r>
    </w:p>
    <w:p>
      <w:pPr>
        <w:pStyle w:val="Normal"/>
        <w:spacing w:lineRule="auto" w:line="240" w:before="0" w:after="0"/>
        <w:jc w:val="both"/>
        <w:rPr/>
      </w:pPr>
      <w:r>
        <w:rPr>
          <w:rFonts w:eastAsia="Times New Roman" w:cs="Times New Roman" w:ascii="Times New Roman" w:hAnsi="Times New Roman"/>
          <w:i/>
          <w:sz w:val="25"/>
          <w:szCs w:val="25"/>
          <w:lang w:eastAsia="en-IN"/>
        </w:rPr>
        <w:t>University</w:t>
      </w:r>
      <w:r>
        <w:rPr>
          <w:rFonts w:eastAsia="Times New Roman" w:cs="Times New Roman" w:ascii="Times New Roman" w:hAnsi="Times New Roman"/>
          <w:sz w:val="25"/>
          <w:szCs w:val="25"/>
          <w:lang w:eastAsia="en-IN"/>
        </w:rPr>
        <w:t xml:space="preserve">: </w:t>
      </w:r>
      <w:r>
        <w:rPr>
          <w:rFonts w:eastAsia="Times New Roman" w:cs="Times New Roman" w:ascii="Times New Roman" w:hAnsi="Times New Roman"/>
          <w:sz w:val="25"/>
          <w:szCs w:val="25"/>
          <w:lang w:eastAsia="en-IN"/>
        </w:rPr>
        <w:t>Cairo University</w:t>
      </w:r>
    </w:p>
    <w:p>
      <w:pPr>
        <w:pStyle w:val="Normal"/>
        <w:spacing w:lineRule="auto" w:line="240" w:before="0" w:after="0"/>
        <w:jc w:val="both"/>
        <w:rPr>
          <w:rFonts w:ascii="Times New Roman" w:hAnsi="Times New Roman" w:eastAsia="Times New Roman" w:cs="Times New Roman"/>
          <w:sz w:val="25"/>
          <w:szCs w:val="25"/>
          <w:lang w:eastAsia="en-IN"/>
        </w:rPr>
      </w:pPr>
      <w:r>
        <w:rPr/>
      </w:r>
    </w:p>
    <w:p>
      <w:pPr>
        <w:pStyle w:val="Normal"/>
        <w:spacing w:lineRule="auto" w:line="240" w:before="0" w:after="0"/>
        <w:jc w:val="both"/>
        <w:rPr/>
      </w:pPr>
      <w:r>
        <w:rPr>
          <w:rFonts w:eastAsia="Times New Roman" w:cs="Times New Roman" w:ascii="Times New Roman" w:hAnsi="Times New Roman"/>
          <w:b/>
          <w:bCs/>
          <w:i/>
          <w:color w:val="000000"/>
          <w:sz w:val="25"/>
          <w:szCs w:val="25"/>
          <w:lang w:eastAsia="en-IN"/>
        </w:rPr>
        <w:t>Country</w:t>
      </w:r>
      <w:r>
        <w:rPr>
          <w:rFonts w:eastAsia="Times New Roman" w:cs="Times New Roman" w:ascii="Times New Roman" w:hAnsi="Times New Roman"/>
          <w:b/>
          <w:bCs/>
          <w:color w:val="000000"/>
          <w:sz w:val="25"/>
          <w:szCs w:val="25"/>
          <w:lang w:eastAsia="en-IN"/>
        </w:rPr>
        <w:t>:  EGYPT</w:t>
      </w:r>
    </w:p>
    <w:p>
      <w:pPr>
        <w:pStyle w:val="Normal"/>
        <w:spacing w:lineRule="auto" w:line="240" w:before="0" w:after="0"/>
        <w:jc w:val="both"/>
        <w:rPr>
          <w:rFonts w:ascii="Times New Roman" w:hAnsi="Times New Roman" w:eastAsia="Times New Roman" w:cs="Times New Roman"/>
          <w:b/>
          <w:b/>
          <w:bCs/>
          <w:color w:val="000000"/>
          <w:sz w:val="25"/>
          <w:szCs w:val="25"/>
          <w:lang w:eastAsia="en-IN"/>
        </w:rPr>
      </w:pPr>
      <w:r>
        <w:rPr/>
      </w:r>
    </w:p>
    <w:p>
      <w:pPr>
        <w:pStyle w:val="LOnormal"/>
        <w:spacing w:lineRule="auto" w:line="480"/>
        <w:jc w:val="both"/>
        <w:rPr/>
      </w:pPr>
      <w:r>
        <w:rPr>
          <w:rFonts w:eastAsia="Times New Roman" w:cs="" w:asciiTheme="majorBidi" w:cstheme="majorBidi" w:hAnsiTheme="majorBidi"/>
          <w:b/>
          <w:color w:val="000000"/>
          <w:sz w:val="22"/>
          <w:szCs w:val="22"/>
        </w:rPr>
        <w:t>ABSTRACT</w:t>
      </w:r>
    </w:p>
    <w:p>
      <w:pPr>
        <w:pStyle w:val="LOnormal"/>
        <w:spacing w:lineRule="auto" w:line="480"/>
        <w:rPr/>
      </w:pPr>
      <w:r>
        <w:rPr>
          <w:rFonts w:eastAsia="Times New Roman" w:cs="" w:asciiTheme="majorBidi" w:cstheme="majorBidi" w:hAnsiTheme="majorBidi"/>
          <w:b/>
          <w:bCs/>
          <w:color w:val="000000"/>
          <w:sz w:val="22"/>
          <w:szCs w:val="22"/>
        </w:rPr>
        <w:t>Background and Objectives:</w:t>
      </w:r>
      <w:r>
        <w:rPr>
          <w:rFonts w:eastAsia="Times New Roman" w:cs="" w:asciiTheme="majorBidi" w:cstheme="majorBidi" w:hAnsiTheme="majorBidi"/>
          <w:color w:val="000000"/>
          <w:sz w:val="22"/>
          <w:szCs w:val="22"/>
        </w:rPr>
        <w:t xml:space="preserve"> Scaffolds are three-dimensional (3D) matrices that provide support for cells to attach, proliferate, and differentiate, facilitating extracellular matrix formation. The study aimed to examine the differentiation potential of Mesenchymal stem cells (MSCs) into hepatocytes in 2D and 3D culture systems to improve their </w:t>
      </w:r>
      <w:r>
        <w:rPr>
          <w:rFonts w:eastAsia="Times New Roman" w:cs="" w:asciiTheme="majorBidi" w:cstheme="majorBidi" w:hAnsiTheme="majorBidi"/>
          <w:i/>
          <w:color w:val="000000"/>
          <w:sz w:val="22"/>
          <w:szCs w:val="22"/>
        </w:rPr>
        <w:t>in vitro</w:t>
      </w:r>
      <w:r>
        <w:rPr>
          <w:rFonts w:eastAsia="Times New Roman" w:cs="" w:asciiTheme="majorBidi" w:cstheme="majorBidi" w:hAnsiTheme="majorBidi"/>
          <w:color w:val="000000"/>
          <w:sz w:val="22"/>
          <w:szCs w:val="22"/>
        </w:rPr>
        <w:t xml:space="preserve"> differentiation, and test their functionality </w:t>
      </w:r>
      <w:r>
        <w:rPr>
          <w:rFonts w:eastAsia="Times New Roman" w:cs="" w:asciiTheme="majorBidi" w:cstheme="majorBidi" w:hAnsiTheme="majorBidi"/>
          <w:i/>
          <w:iCs/>
          <w:color w:val="000000"/>
          <w:sz w:val="22"/>
          <w:szCs w:val="22"/>
        </w:rPr>
        <w:t>in vivo</w:t>
      </w:r>
      <w:r>
        <w:rPr>
          <w:rFonts w:eastAsia="Times New Roman" w:cs="" w:asciiTheme="majorBidi" w:cstheme="majorBidi" w:hAnsiTheme="majorBidi"/>
          <w:color w:val="000000"/>
          <w:sz w:val="22"/>
          <w:szCs w:val="22"/>
        </w:rPr>
        <w:t>.</w:t>
      </w:r>
    </w:p>
    <w:p>
      <w:pPr>
        <w:pStyle w:val="LOnormal"/>
        <w:spacing w:lineRule="auto" w:line="480"/>
        <w:rPr/>
      </w:pPr>
      <w:r>
        <w:rPr>
          <w:rFonts w:eastAsia="Times New Roman" w:cs="" w:asciiTheme="majorBidi" w:cstheme="majorBidi" w:hAnsiTheme="majorBidi"/>
          <w:b/>
          <w:bCs/>
          <w:color w:val="000000"/>
          <w:sz w:val="22"/>
          <w:szCs w:val="22"/>
        </w:rPr>
        <w:t>Methods:</w:t>
      </w:r>
      <w:r>
        <w:rPr>
          <w:rFonts w:eastAsia="Times New Roman" w:cs="" w:asciiTheme="majorBidi" w:cstheme="majorBidi" w:hAnsiTheme="majorBidi"/>
          <w:color w:val="000000"/>
          <w:sz w:val="22"/>
          <w:szCs w:val="22"/>
        </w:rPr>
        <w:t xml:space="preserve"> MSCs were generated from umbilical cord blood. Hepatogenic differentiation was induced on 2D and 3D cultures and characterized by morphology, scanning electron microscopy, immunocytochemistry and Gene expression. Albumin and α-1 antitrypsin (AAT) in culture supernatants were measured. Differentiated Cells were administered IV into a murine model of carbon tetra (CCL4) induced liver cirrhosis which were divided into 3 groups, a) Pathological control group, b) and c) Groups treated with hepatogenic differentiated MSCs cultured on 2D and 3D culture system respectively. After 12 weeks of injection, liver pathology was examined. </w:t>
      </w:r>
    </w:p>
    <w:p>
      <w:pPr>
        <w:pStyle w:val="LOnormal"/>
        <w:spacing w:lineRule="auto" w:line="480"/>
        <w:rPr/>
      </w:pPr>
      <w:r>
        <w:rPr>
          <w:rFonts w:eastAsia="Times New Roman" w:cs="" w:asciiTheme="majorBidi" w:cstheme="majorBidi" w:hAnsiTheme="majorBidi"/>
          <w:b/>
          <w:bCs/>
          <w:color w:val="000000"/>
          <w:sz w:val="22"/>
          <w:szCs w:val="22"/>
        </w:rPr>
        <w:t>Results:</w:t>
      </w:r>
      <w:r>
        <w:rPr>
          <w:rFonts w:eastAsia="Times New Roman" w:cs="" w:asciiTheme="majorBidi" w:cstheme="majorBidi" w:hAnsiTheme="majorBidi"/>
          <w:color w:val="000000"/>
          <w:sz w:val="22"/>
          <w:szCs w:val="22"/>
        </w:rPr>
        <w:t xml:space="preserve"> The hepatogenic differentiated MSCs stained positively for albumin, alpha fetoprotein (AFP), Heppar1, cytokeratin7, 18, and OV6 with more mature cells, hexagonal in shape with central nuclei forming large sheets in groups in 3D</w:t>
      </w:r>
      <w:r>
        <w:rPr>
          <w:rFonts w:eastAsia="Times New Roman" w:cs="" w:asciiTheme="majorBidi" w:cstheme="majorBidi" w:hAnsiTheme="majorBidi"/>
          <w:sz w:val="22"/>
          <w:szCs w:val="22"/>
        </w:rPr>
        <w:t xml:space="preserve"> culture system</w:t>
      </w:r>
      <w:r>
        <w:rPr>
          <w:rFonts w:eastAsia="Times New Roman" w:cs="" w:asciiTheme="majorBidi" w:cstheme="majorBidi" w:hAnsiTheme="majorBidi"/>
          <w:color w:val="000000"/>
          <w:sz w:val="22"/>
          <w:szCs w:val="22"/>
        </w:rPr>
        <w:t>. AAT secretion and Indocyanine green uptake were significantly increased in 3D system. In experimental model, MSC-3D treated group exhibited maximal restoration of liver architecture with absent septal fibrosis and marked improvement of ALT, AST.</w:t>
      </w:r>
    </w:p>
    <w:p>
      <w:pPr>
        <w:pStyle w:val="LOnormal"/>
        <w:spacing w:lineRule="auto" w:line="480" w:before="0" w:after="0"/>
        <w:jc w:val="both"/>
        <w:rPr/>
      </w:pPr>
      <w:r>
        <w:rPr>
          <w:rFonts w:eastAsia="Times New Roman" w:cs="" w:asciiTheme="majorBidi" w:cstheme="majorBidi" w:hAnsiTheme="majorBidi"/>
          <w:b/>
          <w:bCs/>
          <w:color w:val="000000"/>
          <w:sz w:val="22"/>
          <w:szCs w:val="22"/>
          <w:lang w:eastAsia="en-IN"/>
        </w:rPr>
        <w:t xml:space="preserve">Conclusions: Both 3D and 2D culture system are effective in functional hepatogenic differentiation from </w:t>
      </w:r>
      <w:r>
        <w:rPr>
          <w:rFonts w:eastAsia="Times New Roman" w:cs="" w:asciiTheme="majorBidi" w:cstheme="majorBidi" w:hAnsiTheme="majorBidi"/>
          <w:b/>
          <w:bCs/>
          <w:color w:val="000000"/>
          <w:sz w:val="22"/>
          <w:szCs w:val="22"/>
          <w:lang w:eastAsia="en-IN"/>
        </w:rPr>
        <w:t>MSCs</w:t>
      </w:r>
      <w:r>
        <w:rPr>
          <w:rFonts w:eastAsia="Times New Roman" w:cs="" w:asciiTheme="majorBidi" w:cstheme="majorBidi" w:hAnsiTheme="majorBidi"/>
          <w:b/>
          <w:bCs/>
          <w:color w:val="000000"/>
          <w:sz w:val="22"/>
          <w:szCs w:val="22"/>
          <w:lang w:eastAsia="en-IN"/>
        </w:rPr>
        <w:t xml:space="preserve">. In vivo hepatogenic differentiation is more effective on 3D scaffold, with better functional recovery. </w:t>
      </w:r>
    </w:p>
    <w:p>
      <w:pPr>
        <w:pStyle w:val="Normal"/>
        <w:spacing w:lineRule="auto" w:line="240" w:before="0" w:after="0"/>
        <w:jc w:val="both"/>
        <w:rPr>
          <w:rFonts w:ascii="Times New Roman" w:hAnsi="Times New Roman" w:eastAsia="Times New Roman" w:cs="Times New Roman"/>
          <w:b/>
          <w:b/>
          <w:bCs/>
          <w:color w:val="000000"/>
          <w:sz w:val="25"/>
          <w:szCs w:val="25"/>
          <w:lang w:eastAsia="en-IN"/>
        </w:rPr>
      </w:pPr>
      <w:r>
        <w:rPr>
          <w:u w:val="none"/>
        </w:rPr>
      </w:r>
    </w:p>
    <w:p>
      <w:pPr>
        <w:pStyle w:val="Normal"/>
        <w:spacing w:lineRule="auto" w:line="240" w:before="0" w:after="0"/>
        <w:jc w:val="both"/>
        <w:rPr>
          <w:rFonts w:ascii="Times New Roman" w:hAnsi="Times New Roman" w:eastAsia="Times New Roman" w:cs="Times New Roman"/>
          <w:b/>
          <w:b/>
          <w:bCs/>
          <w:color w:val="000000"/>
          <w:sz w:val="25"/>
          <w:szCs w:val="25"/>
          <w:lang w:eastAsia="en-IN"/>
        </w:rPr>
      </w:pPr>
      <w:r>
        <w:rPr/>
      </w:r>
    </w:p>
    <w:p>
      <w:pPr>
        <w:pStyle w:val="Normal"/>
        <w:spacing w:lineRule="auto" w:line="240" w:before="0" w:after="0"/>
        <w:jc w:val="both"/>
        <w:rPr/>
      </w:pPr>
      <w:r>
        <w:rPr>
          <w:rFonts w:eastAsia="Times New Roman" w:cs="Times New Roman" w:ascii="Times New Roman" w:hAnsi="Times New Roman"/>
          <w:i/>
          <w:sz w:val="25"/>
          <w:szCs w:val="25"/>
          <w:u w:val="single"/>
          <w:lang w:eastAsia="en-IN"/>
        </w:rPr>
        <w:t>Biography:</w:t>
      </w:r>
    </w:p>
    <w:p>
      <w:pPr>
        <w:pStyle w:val="Normal"/>
        <w:spacing w:lineRule="auto" w:line="240" w:before="0" w:after="0"/>
        <w:jc w:val="both"/>
        <w:rPr>
          <w:rFonts w:ascii="Times New Roman" w:hAnsi="Times New Roman" w:eastAsia="Times New Roman" w:cs="Times New Roman"/>
          <w:b/>
          <w:i/>
          <w:i/>
          <w:sz w:val="25"/>
          <w:szCs w:val="25"/>
          <w:u w:val="single"/>
          <w:lang w:eastAsia="en-IN"/>
        </w:rPr>
      </w:pPr>
      <w:r>
        <w:rPr/>
      </w:r>
    </w:p>
    <w:p>
      <w:pPr>
        <w:pStyle w:val="Normal"/>
        <w:spacing w:lineRule="auto" w:line="240" w:before="0" w:after="0"/>
        <w:jc w:val="both"/>
        <w:rPr>
          <w:b w:val="false"/>
          <w:b w:val="false"/>
          <w:bCs w:val="false"/>
          <w:u w:val="none"/>
        </w:rPr>
      </w:pPr>
      <w:r>
        <w:rPr>
          <w:rFonts w:eastAsia="Times New Roman" w:cs="Times New Roman" w:ascii="Times New Roman" w:hAnsi="Times New Roman"/>
          <w:b w:val="false"/>
          <w:bCs w:val="false"/>
          <w:i/>
          <w:sz w:val="25"/>
          <w:szCs w:val="25"/>
          <w:u w:val="none"/>
          <w:lang w:eastAsia="en-IN"/>
        </w:rPr>
        <w:t xml:space="preserve">Dr. </w:t>
      </w:r>
      <w:r>
        <w:rPr>
          <w:rFonts w:eastAsia="Times New Roman" w:cs="Times New Roman" w:ascii="Times New Roman" w:hAnsi="Times New Roman"/>
          <w:b w:val="false"/>
          <w:bCs w:val="false"/>
          <w:i/>
          <w:sz w:val="25"/>
          <w:szCs w:val="25"/>
          <w:u w:val="none"/>
          <w:lang w:eastAsia="en-IN"/>
        </w:rPr>
        <w:t xml:space="preserve">Gaafar is a professor of clinical pathology, </w:t>
      </w:r>
      <w:r>
        <w:rPr>
          <w:rFonts w:eastAsia="Times New Roman" w:cs="Times New Roman" w:ascii="Times New Roman" w:hAnsi="Times New Roman"/>
          <w:b w:val="false"/>
          <w:bCs w:val="false"/>
          <w:i/>
          <w:sz w:val="25"/>
          <w:szCs w:val="25"/>
          <w:u w:val="none"/>
          <w:lang w:eastAsia="en-IN"/>
        </w:rPr>
        <w:t>Cell biology,</w:t>
      </w:r>
      <w:r>
        <w:rPr>
          <w:rFonts w:eastAsia="Times New Roman" w:cs="Times New Roman" w:ascii="Times New Roman" w:hAnsi="Times New Roman"/>
          <w:b w:val="false"/>
          <w:bCs w:val="false"/>
          <w:i/>
          <w:sz w:val="25"/>
          <w:szCs w:val="25"/>
          <w:u w:val="none"/>
          <w:lang w:eastAsia="en-IN"/>
        </w:rPr>
        <w:t xml:space="preserve">Cairo University. </w:t>
      </w:r>
      <w:r>
        <w:rPr>
          <w:rFonts w:eastAsia="Times New Roman" w:cs="Times New Roman" w:ascii="Times New Roman" w:hAnsi="Times New Roman"/>
          <w:b w:val="false"/>
          <w:bCs w:val="false"/>
          <w:i/>
          <w:sz w:val="25"/>
          <w:szCs w:val="25"/>
          <w:u w:val="none"/>
          <w:lang w:eastAsia="en-IN"/>
        </w:rPr>
        <w:t xml:space="preserve">Dr Taghrid expertise[-More than 30 years experience in laboratory diagnosis services in Immunology unit, -molecular diagnosis of viral diseases specially HCV &amp;HBV, immunohistochemistry, manipulating and studying tissue biopsy sections, using monoclonal antibodies and flow cytometry, mesenchymal stem cells and- dendritic cell characterization. Head of the Stem Cell and regenerative medicine Research unit, pediatric hospital, Clinical pathology department, Cairo university. The unit undergoes many researches on mesenchymal stem cells as well as many other types of adult stem cells, their isolation, characterization, differentiation and regenerative potential. </w:t>
      </w:r>
    </w:p>
    <w:p>
      <w:pPr>
        <w:pStyle w:val="Normal"/>
        <w:spacing w:lineRule="auto" w:line="240" w:before="0" w:after="0"/>
        <w:jc w:val="both"/>
        <w:rPr>
          <w:rFonts w:ascii="Times New Roman" w:hAnsi="Times New Roman" w:eastAsia="Times New Roman" w:cs="Times New Roman"/>
          <w:i/>
          <w:i/>
          <w:sz w:val="25"/>
          <w:szCs w:val="25"/>
          <w:lang w:eastAsia="en-IN"/>
        </w:rPr>
      </w:pPr>
      <w:r>
        <w:rPr>
          <w:b w:val="false"/>
          <w:bCs w:val="false"/>
          <w:u w:val="none"/>
        </w:rPr>
      </w:r>
    </w:p>
    <w:p>
      <w:pPr>
        <w:pStyle w:val="Normal"/>
        <w:spacing w:lineRule="auto" w:line="240" w:before="0" w:after="0"/>
        <w:jc w:val="both"/>
        <w:rPr/>
      </w:pPr>
      <w:r>
        <w:rPr>
          <w:rFonts w:eastAsia="Times New Roman" w:cs="Times New Roman" w:ascii="Times New Roman" w:hAnsi="Times New Roman"/>
          <w:i/>
          <w:sz w:val="25"/>
          <w:szCs w:val="25"/>
          <w:u w:val="single"/>
          <w:lang w:eastAsia="en-IN"/>
        </w:rPr>
        <w:t>Research Interests</w:t>
      </w:r>
    </w:p>
    <w:p>
      <w:pPr>
        <w:pStyle w:val="Normal"/>
        <w:spacing w:lineRule="auto" w:line="240" w:before="0" w:after="0"/>
        <w:jc w:val="both"/>
        <w:rPr>
          <w:u w:val="none"/>
        </w:rPr>
      </w:pPr>
      <w:r>
        <w:rPr>
          <w:rFonts w:eastAsia="Times New Roman" w:cs="Times New Roman" w:ascii="Times New Roman" w:hAnsi="Times New Roman"/>
          <w:i/>
          <w:sz w:val="25"/>
          <w:szCs w:val="25"/>
          <w:u w:val="none"/>
          <w:lang w:eastAsia="en-IN"/>
        </w:rPr>
        <w:t>Stem cell research, regenerative medicine.</w:t>
      </w:r>
    </w:p>
    <w:p>
      <w:pPr>
        <w:pStyle w:val="Normal"/>
        <w:spacing w:lineRule="auto" w:line="240" w:before="0" w:after="0"/>
        <w:jc w:val="both"/>
        <w:rPr>
          <w:rFonts w:ascii="Times New Roman" w:hAnsi="Times New Roman" w:eastAsia="Times New Roman" w:cs="Times New Roman"/>
          <w:i/>
          <w:i/>
          <w:sz w:val="25"/>
          <w:szCs w:val="25"/>
          <w:u w:val="single"/>
          <w:lang w:eastAsia="en-IN"/>
        </w:rPr>
      </w:pPr>
      <w:r>
        <w:rPr/>
      </w:r>
    </w:p>
    <w:p>
      <w:pPr>
        <w:pStyle w:val="Normal"/>
        <w:spacing w:lineRule="auto" w:line="240" w:before="0" w:after="0"/>
        <w:jc w:val="both"/>
        <w:rPr/>
      </w:pPr>
      <w:r>
        <w:rPr>
          <w:rFonts w:eastAsia="Times New Roman" w:cs="Times New Roman" w:ascii="Times New Roman" w:hAnsi="Times New Roman"/>
          <w:i/>
          <w:sz w:val="25"/>
          <w:szCs w:val="25"/>
          <w:u w:val="single"/>
          <w:lang w:eastAsia="en-IN"/>
        </w:rPr>
        <w:t>References:</w:t>
      </w:r>
    </w:p>
    <w:p>
      <w:pPr>
        <w:pStyle w:val="Normal"/>
        <w:spacing w:lineRule="auto" w:line="240" w:before="0" w:after="0"/>
        <w:jc w:val="both"/>
        <w:rPr>
          <w:rFonts w:ascii="Times New Roman" w:hAnsi="Times New Roman" w:eastAsia="Times New Roman" w:cs="Times New Roman"/>
          <w:i/>
          <w:i/>
          <w:sz w:val="25"/>
          <w:szCs w:val="25"/>
          <w:u w:val="single"/>
          <w:lang w:eastAsia="en-IN"/>
        </w:rPr>
      </w:pPr>
      <w:r>
        <w:rPr>
          <w:rFonts w:eastAsia="Times New Roman" w:cs="Times New Roman" w:ascii="Times New Roman" w:hAnsi="Times New Roman"/>
          <w:i/>
          <w:sz w:val="25"/>
          <w:szCs w:val="25"/>
          <w:u w:val="none"/>
          <w:lang w:eastAsia="en-IN"/>
        </w:rPr>
        <w:t>Prof Dr Konrad Brockmei</w:t>
      </w:r>
      <w:r>
        <w:rPr>
          <w:rFonts w:eastAsia="Times New Roman" w:cs="Times New Roman" w:ascii="Times New Roman" w:hAnsi="Times New Roman"/>
          <w:i/>
          <w:sz w:val="25"/>
          <w:szCs w:val="25"/>
          <w:u w:val="none"/>
          <w:lang w:eastAsia="en-IN"/>
        </w:rPr>
        <w:t>e</w:t>
      </w:r>
      <w:r>
        <w:rPr>
          <w:rFonts w:eastAsia="Times New Roman" w:cs="Times New Roman" w:ascii="Times New Roman" w:hAnsi="Times New Roman"/>
          <w:i/>
          <w:sz w:val="25"/>
          <w:szCs w:val="25"/>
          <w:u w:val="none"/>
          <w:lang w:eastAsia="en-IN"/>
        </w:rPr>
        <w:t>r,prof of pediatric cardiology ,ColonUniversity ,German</w:t>
      </w:r>
      <w:r>
        <w:rPr>
          <w:rFonts w:eastAsia="Times New Roman" w:cs="Times New Roman" w:ascii="Times New Roman" w:hAnsi="Times New Roman"/>
          <w:i/>
          <w:sz w:val="25"/>
          <w:szCs w:val="25"/>
          <w:u w:val="none"/>
          <w:lang w:eastAsia="en-IN"/>
        </w:rPr>
        <w:t>y</w:t>
      </w:r>
    </w:p>
    <w:p>
      <w:pPr>
        <w:pStyle w:val="Normal"/>
        <w:spacing w:lineRule="auto" w:line="240" w:before="0" w:after="0"/>
        <w:jc w:val="both"/>
        <w:rPr>
          <w:rFonts w:ascii="Times New Roman" w:hAnsi="Times New Roman" w:eastAsia="Times New Roman" w:cs="Times New Roman"/>
          <w:i/>
          <w:i/>
          <w:sz w:val="25"/>
          <w:szCs w:val="25"/>
          <w:u w:val="single"/>
          <w:lang w:eastAsia="en-IN"/>
        </w:rPr>
      </w:pPr>
      <w:r>
        <w:rPr>
          <w:rFonts w:eastAsia="Times New Roman" w:cs="Times New Roman" w:ascii="Times New Roman" w:hAnsi="Times New Roman"/>
          <w:i/>
          <w:sz w:val="25"/>
          <w:szCs w:val="25"/>
          <w:u w:val="none"/>
          <w:lang w:eastAsia="en-IN"/>
        </w:rPr>
        <w:t>konrad.brockmeier@uk-koeln.de</w:t>
      </w:r>
    </w:p>
    <w:p>
      <w:pPr>
        <w:pStyle w:val="Normal"/>
        <w:spacing w:lineRule="auto" w:line="240" w:before="0" w:after="0"/>
        <w:jc w:val="both"/>
        <w:rPr/>
      </w:pPr>
      <w:r>
        <w:rPr>
          <w:rFonts w:eastAsia="Times New Roman" w:cs="Times New Roman" w:ascii="Times New Roman" w:hAnsi="Times New Roman"/>
          <w:b/>
          <w:bCs/>
          <w:i/>
          <w:color w:val="000000"/>
          <w:sz w:val="25"/>
          <w:szCs w:val="25"/>
          <w:lang w:eastAsia="en-IN"/>
        </w:rPr>
        <w:t>Mail Id:</w:t>
      </w:r>
    </w:p>
    <w:p>
      <w:pPr>
        <w:pStyle w:val="Normal"/>
        <w:spacing w:lineRule="auto" w:line="240" w:before="0" w:after="0"/>
        <w:jc w:val="both"/>
        <w:rPr/>
      </w:pPr>
      <w:hyperlink r:id="rId2">
        <w:r>
          <w:rPr>
            <w:rStyle w:val="InternetLink"/>
            <w:rFonts w:eastAsia="Times New Roman" w:cs="Times New Roman" w:ascii="Times New Roman" w:hAnsi="Times New Roman"/>
            <w:b/>
            <w:bCs/>
            <w:i/>
            <w:color w:val="000000"/>
            <w:sz w:val="25"/>
            <w:szCs w:val="25"/>
            <w:lang w:eastAsia="en-IN"/>
          </w:rPr>
          <w:t>tagrid8@yahoo.com</w:t>
        </w:r>
      </w:hyperlink>
    </w:p>
    <w:p>
      <w:pPr>
        <w:pStyle w:val="Normal"/>
        <w:spacing w:lineRule="auto" w:line="240" w:before="0" w:after="0"/>
        <w:jc w:val="both"/>
        <w:rPr/>
      </w:pPr>
      <w:r>
        <w:rPr>
          <w:rFonts w:eastAsia="Times New Roman" w:cs="Times New Roman" w:ascii="Times New Roman" w:hAnsi="Times New Roman"/>
          <w:b/>
          <w:bCs/>
          <w:i/>
          <w:color w:val="000000"/>
          <w:sz w:val="25"/>
          <w:szCs w:val="25"/>
          <w:lang w:eastAsia="en-IN"/>
        </w:rPr>
        <w:t>Contact Number:</w:t>
      </w:r>
    </w:p>
    <w:p>
      <w:pPr>
        <w:pStyle w:val="Normal"/>
        <w:spacing w:lineRule="auto" w:line="240" w:before="0" w:after="0"/>
        <w:jc w:val="both"/>
        <w:rPr/>
      </w:pPr>
      <w:r>
        <w:rPr>
          <w:rFonts w:eastAsia="Times New Roman" w:cs="Times New Roman" w:ascii="Times New Roman" w:hAnsi="Times New Roman"/>
          <w:b/>
          <w:bCs/>
          <w:i/>
          <w:color w:val="000000"/>
          <w:sz w:val="25"/>
          <w:szCs w:val="25"/>
          <w:lang w:eastAsia="en-IN"/>
        </w:rPr>
        <w:t>+201223106418</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96"/>
  <w:defaultTabStop w:val="4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en-US" w:eastAsia="zh-CN" w:bidi="hi-IN"/>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Arial Unicode MS"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LOnormal">
    <w:name w:val="LO-normal"/>
    <w:qFormat/>
    <w:pPr>
      <w:widowControl/>
      <w:bidi w:val="0"/>
      <w:spacing w:lineRule="auto" w:line="240" w:before="0" w:after="0"/>
      <w:jc w:val="left"/>
    </w:pPr>
    <w:rPr>
      <w:rFonts w:ascii="Liberation Serif" w:hAnsi="Liberation Serif" w:eastAsia="Liberation Serif" w:cs="Liberation Serif"/>
      <w:color w:val="00000A"/>
      <w:kern w:val="2"/>
      <w:sz w:val="20"/>
      <w:szCs w:val="20"/>
      <w:lang w:val="en-US"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tagrid8@yahoo.com" TargetMode="Externa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13</TotalTime>
  <Application>LibreOffice_Vanilla/6.0.4.5$MacOSX_X86_64 LibreOffice_project/6840e4519a6ce8bcc1328eb2d87b5c46c6df1038</Application>
  <Pages>2</Pages>
  <Words>399</Words>
  <Characters>2629</Characters>
  <CharactersWithSpaces>3012</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2019-02-16T01:12:13Z</dcterms:created>
  <dc:creator/>
  <dc:description/>
  <dc:language>en-US</dc:language>
  <cp:lastModifiedBy/>
  <dcterms:modified xsi:type="dcterms:W3CDTF">2019-02-16T01:47:56Z</dcterms:modified>
  <cp:revision>3</cp:revision>
  <dc:subject/>
  <dc:title/>
</cp:coreProperties>
</file>