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Tekstpodstawowy"/>
        <w:rPr>
          <w:rFonts w:ascii="Times New Roman"/>
          <w:sz w:val="20"/>
        </w:rPr>
      </w:pPr>
    </w:p>
    <w:p w:rsidR="00901D18" w:rsidRPr="00901D18" w:rsidRDefault="005A39C9" w:rsidP="00901D18">
      <w:pPr>
        <w:pStyle w:val="Nagwek1"/>
        <w:rPr>
          <w:color w:val="4F81BD" w:themeColor="accent1"/>
        </w:rPr>
      </w:pPr>
      <w:r w:rsidRPr="005A39C9">
        <w:rPr>
          <w:color w:val="4F81BD" w:themeColor="accent1"/>
        </w:rPr>
        <w:t xml:space="preserve">Selected </w:t>
      </w:r>
      <w:proofErr w:type="spellStart"/>
      <w:r w:rsidRPr="005A39C9">
        <w:rPr>
          <w:color w:val="4F81BD" w:themeColor="accent1"/>
        </w:rPr>
        <w:t>microenvironmental</w:t>
      </w:r>
      <w:proofErr w:type="spellEnd"/>
      <w:r w:rsidRPr="005A39C9">
        <w:rPr>
          <w:color w:val="4F81BD" w:themeColor="accent1"/>
        </w:rPr>
        <w:t xml:space="preserve"> and material factors deciding about scaffold </w:t>
      </w:r>
      <w:proofErr w:type="spellStart"/>
      <w:r w:rsidRPr="005A39C9">
        <w:rPr>
          <w:color w:val="4F81BD" w:themeColor="accent1"/>
        </w:rPr>
        <w:t>efficienc</w:t>
      </w:r>
      <w:proofErr w:type="spellEnd"/>
    </w:p>
    <w:p w:rsidR="00AE3E37" w:rsidRDefault="005A39C9" w:rsidP="00901D18">
      <w:pPr>
        <w:pStyle w:val="Tekstpodstawowy"/>
        <w:spacing w:before="73" w:line="198" w:lineRule="exact"/>
        <w:ind w:left="100" w:right="5967"/>
        <w:rPr>
          <w:rFonts w:ascii="Arial"/>
          <w:sz w:val="20"/>
        </w:rPr>
      </w:pPr>
      <w:proofErr w:type="spellStart"/>
      <w:r w:rsidRPr="005A39C9">
        <w:rPr>
          <w:rFonts w:ascii="Arial"/>
          <w:u w:val="single"/>
        </w:rPr>
        <w:t>Dorota</w:t>
      </w:r>
      <w:proofErr w:type="spellEnd"/>
      <w:r w:rsidRPr="005A39C9">
        <w:rPr>
          <w:rFonts w:ascii="Arial"/>
          <w:u w:val="single"/>
        </w:rPr>
        <w:t xml:space="preserve"> </w:t>
      </w:r>
      <w:proofErr w:type="spellStart"/>
      <w:r w:rsidRPr="005A39C9">
        <w:rPr>
          <w:rFonts w:ascii="Arial"/>
          <w:u w:val="single"/>
        </w:rPr>
        <w:t>Kolbuk-Konieczny</w:t>
      </w:r>
      <w:proofErr w:type="spellEnd"/>
      <w:r w:rsidRPr="005A39C9">
        <w:rPr>
          <w:rFonts w:ascii="Arial"/>
          <w:u w:val="single"/>
        </w:rPr>
        <w:t xml:space="preserve">, Piotr Denis, Olga </w:t>
      </w:r>
      <w:proofErr w:type="spellStart"/>
      <w:r w:rsidRPr="005A39C9">
        <w:rPr>
          <w:rFonts w:ascii="Arial"/>
          <w:u w:val="single"/>
        </w:rPr>
        <w:t>Urbanek</w:t>
      </w:r>
      <w:proofErr w:type="spellEnd"/>
      <w:r w:rsidRPr="005A39C9">
        <w:rPr>
          <w:rFonts w:ascii="Arial"/>
          <w:u w:val="single"/>
        </w:rPr>
        <w:t xml:space="preserve">, </w:t>
      </w:r>
      <w:proofErr w:type="spellStart"/>
      <w:r w:rsidRPr="005A39C9">
        <w:rPr>
          <w:rFonts w:ascii="Arial"/>
          <w:u w:val="single"/>
        </w:rPr>
        <w:t>Oliwia</w:t>
      </w:r>
      <w:proofErr w:type="spellEnd"/>
      <w:r w:rsidRPr="005A39C9">
        <w:rPr>
          <w:rFonts w:ascii="Arial"/>
          <w:u w:val="single"/>
        </w:rPr>
        <w:t xml:space="preserve"> </w:t>
      </w:r>
      <w:proofErr w:type="spellStart"/>
      <w:r w:rsidRPr="005A39C9">
        <w:rPr>
          <w:rFonts w:ascii="Arial"/>
          <w:u w:val="single"/>
        </w:rPr>
        <w:t>Jeznach</w:t>
      </w:r>
      <w:proofErr w:type="spellEnd"/>
      <w:r w:rsidRPr="005A39C9">
        <w:rPr>
          <w:rFonts w:ascii="Arial"/>
          <w:u w:val="single"/>
        </w:rPr>
        <w:t xml:space="preserve">; Institute of Fundamental Technological </w:t>
      </w:r>
      <w:proofErr w:type="spellStart"/>
      <w:r w:rsidRPr="005A39C9">
        <w:rPr>
          <w:rFonts w:ascii="Arial"/>
          <w:u w:val="single"/>
        </w:rPr>
        <w:t>Reserach</w:t>
      </w:r>
      <w:proofErr w:type="spellEnd"/>
      <w:r w:rsidRPr="005A39C9">
        <w:rPr>
          <w:rFonts w:ascii="Arial"/>
          <w:u w:val="single"/>
        </w:rPr>
        <w:t>, PAS, Poland</w:t>
      </w:r>
    </w:p>
    <w:p w:rsidR="00AE3E37" w:rsidRDefault="00AE3E37">
      <w:pPr>
        <w:pStyle w:val="Tekstpodstawowy"/>
        <w:spacing w:before="3"/>
        <w:rPr>
          <w:rFonts w:ascii="Arial"/>
          <w:sz w:val="21"/>
        </w:rPr>
      </w:pPr>
    </w:p>
    <w:p w:rsidR="00AE3E37" w:rsidRDefault="00AE3E37" w:rsidP="00901D18">
      <w:pPr>
        <w:jc w:val="both"/>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Nagwek3"/>
        <w:spacing w:before="147"/>
        <w:jc w:val="both"/>
      </w:pPr>
      <w:r>
        <w:rPr>
          <w:color w:val="BF5A14"/>
        </w:rPr>
        <w:lastRenderedPageBreak/>
        <w:t>Abstract</w:t>
      </w:r>
      <w:r w:rsidR="00901D18">
        <w:rPr>
          <w:color w:val="BF5A14"/>
        </w:rPr>
        <w:t xml:space="preserve"> </w:t>
      </w:r>
    </w:p>
    <w:p w:rsidR="005A39C9" w:rsidRPr="005A39C9" w:rsidRDefault="005A39C9" w:rsidP="005A39C9">
      <w:pPr>
        <w:autoSpaceDE w:val="0"/>
        <w:autoSpaceDN w:val="0"/>
        <w:adjustRightInd w:val="0"/>
        <w:spacing w:line="360" w:lineRule="auto"/>
        <w:jc w:val="both"/>
        <w:rPr>
          <w:rFonts w:cs="Arial"/>
          <w:color w:val="000000"/>
          <w:sz w:val="18"/>
          <w:szCs w:val="18"/>
          <w:lang w:val="en-GB"/>
        </w:rPr>
      </w:pPr>
      <w:r w:rsidRPr="005A39C9">
        <w:rPr>
          <w:rFonts w:cs="Arial"/>
          <w:color w:val="000000"/>
          <w:sz w:val="18"/>
          <w:szCs w:val="18"/>
          <w:lang w:val="en-GB"/>
        </w:rPr>
        <w:t xml:space="preserve">The quality of life of millions of patients has been greatly improved by the development and deployment of permanent implants in the clinical setting such as total knee joint prostheses, cardiovascular stents and breast implants, as well as medical devices including plates, screws and nails, and artificial organs [1-3]. The global regenerative medicine market is expected to reach USD 38.70 Billion by 2021 from USD 13.41 in 2016 [4]. </w:t>
      </w:r>
    </w:p>
    <w:p w:rsidR="005A39C9" w:rsidRPr="005A39C9" w:rsidRDefault="005A39C9" w:rsidP="005A39C9">
      <w:pPr>
        <w:autoSpaceDE w:val="0"/>
        <w:autoSpaceDN w:val="0"/>
        <w:adjustRightInd w:val="0"/>
        <w:spacing w:line="360" w:lineRule="auto"/>
        <w:jc w:val="both"/>
        <w:rPr>
          <w:rFonts w:cs="Arial"/>
          <w:color w:val="000000"/>
          <w:sz w:val="18"/>
          <w:szCs w:val="18"/>
          <w:lang w:val="en-GB"/>
        </w:rPr>
      </w:pPr>
      <w:r w:rsidRPr="005A39C9">
        <w:rPr>
          <w:rFonts w:cs="Arial"/>
          <w:color w:val="000000"/>
          <w:sz w:val="18"/>
          <w:szCs w:val="18"/>
          <w:lang w:val="en-GB"/>
        </w:rPr>
        <w:t xml:space="preserve">In general, all developed materials needs to be biocompatible, nontoxic, and fulfil properties suitable for specific application. Additionally, scaffold for different tissue regeneration need to fulfil different chemical and mechanical requirements. It is because of differences in  </w:t>
      </w:r>
      <w:proofErr w:type="spellStart"/>
      <w:r w:rsidRPr="005A39C9">
        <w:rPr>
          <w:rFonts w:cs="Arial"/>
          <w:color w:val="000000"/>
          <w:sz w:val="18"/>
          <w:szCs w:val="18"/>
          <w:lang w:val="en-GB"/>
        </w:rPr>
        <w:t>microenvironmental</w:t>
      </w:r>
      <w:proofErr w:type="spellEnd"/>
      <w:r w:rsidRPr="005A39C9">
        <w:rPr>
          <w:rFonts w:cs="Arial"/>
          <w:color w:val="000000"/>
          <w:sz w:val="18"/>
          <w:szCs w:val="18"/>
          <w:lang w:val="en-GB"/>
        </w:rPr>
        <w:t xml:space="preserve"> stimuli between regenerated tissues types.</w:t>
      </w:r>
    </w:p>
    <w:p w:rsidR="005A39C9" w:rsidRPr="005A39C9" w:rsidRDefault="005A39C9" w:rsidP="005A39C9">
      <w:pPr>
        <w:autoSpaceDE w:val="0"/>
        <w:autoSpaceDN w:val="0"/>
        <w:adjustRightInd w:val="0"/>
        <w:spacing w:line="360" w:lineRule="auto"/>
        <w:jc w:val="both"/>
        <w:rPr>
          <w:rFonts w:cs="Arial"/>
          <w:color w:val="000000"/>
          <w:sz w:val="18"/>
          <w:szCs w:val="18"/>
          <w:lang w:val="en-GB"/>
        </w:rPr>
      </w:pPr>
      <w:r w:rsidRPr="005A39C9">
        <w:rPr>
          <w:rFonts w:cs="Arial"/>
          <w:color w:val="000000"/>
          <w:sz w:val="18"/>
          <w:szCs w:val="18"/>
          <w:lang w:val="en-GB"/>
        </w:rPr>
        <w:t>The aim of this presentation is to show the literature background as well as selected research done in the topic of crucial factors in scaffold development for regenerative medicine.</w:t>
      </w:r>
    </w:p>
    <w:p w:rsidR="00901D18" w:rsidRPr="00901D18" w:rsidRDefault="005A39C9" w:rsidP="005A39C9">
      <w:pPr>
        <w:autoSpaceDE w:val="0"/>
        <w:autoSpaceDN w:val="0"/>
        <w:adjustRightInd w:val="0"/>
        <w:spacing w:line="360" w:lineRule="auto"/>
        <w:jc w:val="both"/>
        <w:rPr>
          <w:rFonts w:cs="Arial"/>
          <w:color w:val="000000"/>
          <w:sz w:val="18"/>
          <w:szCs w:val="18"/>
          <w:lang w:val="en-GB"/>
        </w:rPr>
      </w:pPr>
      <w:r w:rsidRPr="005A39C9">
        <w:rPr>
          <w:rFonts w:cs="Arial"/>
          <w:color w:val="000000"/>
          <w:sz w:val="18"/>
          <w:szCs w:val="18"/>
          <w:lang w:val="en-GB"/>
        </w:rPr>
        <w:t>Main tasks of our group as well as literature about scaffolds requirements dedicated to various tissue types regeneration will be presented. Fundamental research investigations about materials development, structural and surface properties in terms of material-cells interaction will be analysed. The second field of our interest are grafts for knee repair (ligaments, bone and cartilage). In this last interest, specific needs e.g.: mechanical, surface, biological properties and degradation conditions are investigated and some results will be shown during presentation.</w:t>
      </w:r>
      <w:r w:rsidR="00901D18" w:rsidRPr="00901D18">
        <w:rPr>
          <w:rFonts w:cs="Arial"/>
          <w:color w:val="000000"/>
          <w:sz w:val="18"/>
          <w:szCs w:val="18"/>
          <w:lang w:val="en-GB"/>
        </w:rPr>
        <w:t xml:space="preserve"> </w:t>
      </w:r>
    </w:p>
    <w:p w:rsidR="00AE3E37" w:rsidRPr="001575C0" w:rsidRDefault="00A9710C" w:rsidP="001575C0">
      <w:pPr>
        <w:pStyle w:val="Nagwek3"/>
        <w:spacing w:before="74"/>
      </w:pPr>
      <w:r>
        <w:rPr>
          <w:b w:val="0"/>
        </w:rPr>
        <w:br w:type="column"/>
      </w:r>
      <w:r>
        <w:rPr>
          <w:color w:val="BF5A14"/>
        </w:rPr>
        <w:lastRenderedPageBreak/>
        <w:t>Image</w:t>
      </w:r>
    </w:p>
    <w:p w:rsidR="00B15A94" w:rsidRDefault="005A39C9" w:rsidP="001575C0">
      <w:pPr>
        <w:pStyle w:val="Tekstpodstawowy"/>
        <w:spacing w:before="2"/>
        <w:jc w:val="center"/>
        <w:rPr>
          <w:rFonts w:ascii="Arial"/>
          <w:b/>
          <w:sz w:val="16"/>
        </w:rPr>
      </w:pPr>
      <w:r>
        <w:rPr>
          <w:b/>
          <w:noProof/>
          <w:color w:val="BF5A14"/>
          <w:lang w:val="en-GB" w:eastAsia="en-GB"/>
        </w:rPr>
        <w:drawing>
          <wp:anchor distT="0" distB="0" distL="114300" distR="114300" simplePos="0" relativeHeight="251660288" behindDoc="1" locked="0" layoutInCell="1" allowOverlap="1" wp14:anchorId="5550086E" wp14:editId="7A60472A">
            <wp:simplePos x="0" y="0"/>
            <wp:positionH relativeFrom="column">
              <wp:posOffset>207645</wp:posOffset>
            </wp:positionH>
            <wp:positionV relativeFrom="paragraph">
              <wp:posOffset>56515</wp:posOffset>
            </wp:positionV>
            <wp:extent cx="3080385" cy="2347595"/>
            <wp:effectExtent l="0" t="0" r="5715" b="0"/>
            <wp:wrapTight wrapText="bothSides">
              <wp:wrapPolygon edited="0">
                <wp:start x="0" y="0"/>
                <wp:lineTo x="0" y="21384"/>
                <wp:lineTo x="21506" y="21384"/>
                <wp:lineTo x="21506" y="0"/>
                <wp:lineTo x="0" y="0"/>
              </wp:wrapPolygon>
            </wp:wrapTight>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ls-respond-to-different-microenvironmental-stimulus-in-vivo-A-schematic-showing-the3.jpg"/>
                    <pic:cNvPicPr/>
                  </pic:nvPicPr>
                  <pic:blipFill rotWithShape="1">
                    <a:blip r:embed="rId10" cstate="print">
                      <a:extLst>
                        <a:ext uri="{28A0092B-C50C-407E-A947-70E740481C1C}">
                          <a14:useLocalDpi xmlns:a14="http://schemas.microsoft.com/office/drawing/2010/main" val="0"/>
                        </a:ext>
                      </a:extLst>
                    </a:blip>
                    <a:srcRect l="2777" t="2710" r="1852" b="2674"/>
                    <a:stretch/>
                  </pic:blipFill>
                  <pic:spPr bwMode="auto">
                    <a:xfrm>
                      <a:off x="0" y="0"/>
                      <a:ext cx="3080385" cy="23475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A39C9" w:rsidRPr="0044735E" w:rsidRDefault="001575C0" w:rsidP="005A39C9">
      <w:pPr>
        <w:spacing w:line="204" w:lineRule="exact"/>
        <w:rPr>
          <w:rFonts w:asciiTheme="minorHAnsi" w:hAnsiTheme="minorHAnsi"/>
          <w:sz w:val="18"/>
          <w:szCs w:val="18"/>
        </w:rPr>
      </w:pPr>
      <w:r w:rsidRPr="001575C0">
        <w:rPr>
          <w:rFonts w:ascii="Times New Roman" w:hAnsi="Times New Roman" w:cs="Times New Roman"/>
          <w:sz w:val="16"/>
        </w:rPr>
        <w:t xml:space="preserve">Figure 1. </w:t>
      </w:r>
      <w:r w:rsidR="005A39C9">
        <w:rPr>
          <w:rFonts w:asciiTheme="minorHAnsi" w:hAnsiTheme="minorHAnsi"/>
          <w:sz w:val="18"/>
          <w:szCs w:val="18"/>
        </w:rPr>
        <w:t>Scheme</w:t>
      </w:r>
      <w:r w:rsidR="005A39C9" w:rsidRPr="0044735E">
        <w:rPr>
          <w:rFonts w:asciiTheme="minorHAnsi" w:hAnsiTheme="minorHAnsi"/>
          <w:sz w:val="18"/>
          <w:szCs w:val="18"/>
        </w:rPr>
        <w:t xml:space="preserve"> showing the different factors </w:t>
      </w:r>
      <w:r w:rsidR="005A39C9">
        <w:rPr>
          <w:rFonts w:asciiTheme="minorHAnsi" w:hAnsiTheme="minorHAnsi"/>
          <w:sz w:val="18"/>
          <w:szCs w:val="18"/>
        </w:rPr>
        <w:t>of cells stimuli in vitro [5].</w:t>
      </w:r>
    </w:p>
    <w:p w:rsidR="00AE3E37" w:rsidRPr="00EE1422" w:rsidRDefault="00414F7B" w:rsidP="00EE1422">
      <w:pPr>
        <w:spacing w:before="157"/>
        <w:ind w:left="100"/>
        <w:rPr>
          <w:rFonts w:ascii="Arial"/>
          <w:b/>
          <w:sz w:val="20"/>
        </w:rPr>
      </w:pPr>
      <w:r>
        <w:rPr>
          <w:rFonts w:ascii="Arial"/>
          <w:b/>
          <w:color w:val="BF5A14"/>
          <w:sz w:val="20"/>
        </w:rPr>
        <w:t>Recent publi</w:t>
      </w:r>
      <w:r w:rsidR="00EE1422">
        <w:rPr>
          <w:rFonts w:ascii="Arial"/>
          <w:b/>
          <w:color w:val="BF5A14"/>
          <w:sz w:val="20"/>
        </w:rPr>
        <w:t>cations</w:t>
      </w:r>
    </w:p>
    <w:p w:rsidR="005A39C9" w:rsidRPr="005A39C9" w:rsidRDefault="005A39C9" w:rsidP="005A39C9">
      <w:pPr>
        <w:pStyle w:val="Akapitzlist"/>
        <w:numPr>
          <w:ilvl w:val="0"/>
          <w:numId w:val="3"/>
        </w:numPr>
        <w:rPr>
          <w:rFonts w:ascii="Times New Roman" w:hAnsi="Times New Roman" w:cs="Times New Roman"/>
          <w:color w:val="000000" w:themeColor="text1"/>
          <w:sz w:val="18"/>
          <w:szCs w:val="18"/>
          <w:shd w:val="clear" w:color="auto" w:fill="FFFFFF"/>
        </w:rPr>
      </w:pPr>
      <w:proofErr w:type="spellStart"/>
      <w:r w:rsidRPr="005A39C9">
        <w:rPr>
          <w:rFonts w:ascii="Times New Roman" w:hAnsi="Times New Roman" w:cs="Times New Roman"/>
          <w:color w:val="000000" w:themeColor="text1"/>
          <w:sz w:val="18"/>
          <w:szCs w:val="18"/>
          <w:shd w:val="clear" w:color="auto" w:fill="FFFFFF"/>
        </w:rPr>
        <w:t>Lysaght</w:t>
      </w:r>
      <w:proofErr w:type="spellEnd"/>
      <w:r w:rsidRPr="005A39C9">
        <w:rPr>
          <w:rFonts w:ascii="Times New Roman" w:hAnsi="Times New Roman" w:cs="Times New Roman"/>
          <w:color w:val="000000" w:themeColor="text1"/>
          <w:sz w:val="18"/>
          <w:szCs w:val="18"/>
          <w:shd w:val="clear" w:color="auto" w:fill="FFFFFF"/>
        </w:rPr>
        <w:t xml:space="preserve">, M. J., &amp; </w:t>
      </w:r>
      <w:proofErr w:type="spellStart"/>
      <w:r w:rsidRPr="005A39C9">
        <w:rPr>
          <w:rFonts w:ascii="Times New Roman" w:hAnsi="Times New Roman" w:cs="Times New Roman"/>
          <w:color w:val="000000" w:themeColor="text1"/>
          <w:sz w:val="18"/>
          <w:szCs w:val="18"/>
          <w:shd w:val="clear" w:color="auto" w:fill="FFFFFF"/>
        </w:rPr>
        <w:t>Tsui</w:t>
      </w:r>
      <w:proofErr w:type="spellEnd"/>
      <w:r w:rsidRPr="005A39C9">
        <w:rPr>
          <w:rFonts w:ascii="Times New Roman" w:hAnsi="Times New Roman" w:cs="Times New Roman"/>
          <w:color w:val="000000" w:themeColor="text1"/>
          <w:sz w:val="18"/>
          <w:szCs w:val="18"/>
          <w:shd w:val="clear" w:color="auto" w:fill="FFFFFF"/>
        </w:rPr>
        <w:t xml:space="preserve">, J. (1999). Observations: Risk, reason, and regulation in contemporary medical devices. </w:t>
      </w:r>
      <w:proofErr w:type="spellStart"/>
      <w:r w:rsidRPr="005A39C9">
        <w:rPr>
          <w:rFonts w:ascii="Times New Roman" w:hAnsi="Times New Roman" w:cs="Times New Roman"/>
          <w:color w:val="000000" w:themeColor="text1"/>
          <w:sz w:val="18"/>
          <w:szCs w:val="18"/>
          <w:shd w:val="clear" w:color="auto" w:fill="FFFFFF"/>
        </w:rPr>
        <w:t>ASAIO</w:t>
      </w:r>
      <w:proofErr w:type="spellEnd"/>
      <w:r w:rsidRPr="005A39C9">
        <w:rPr>
          <w:rFonts w:ascii="Times New Roman" w:hAnsi="Times New Roman" w:cs="Times New Roman"/>
          <w:color w:val="000000" w:themeColor="text1"/>
          <w:sz w:val="18"/>
          <w:szCs w:val="18"/>
          <w:shd w:val="clear" w:color="auto" w:fill="FFFFFF"/>
        </w:rPr>
        <w:t xml:space="preserve"> journal, 45(3), 226-228..</w:t>
      </w:r>
    </w:p>
    <w:p w:rsidR="005A39C9" w:rsidRPr="005A39C9" w:rsidRDefault="005A39C9" w:rsidP="005A39C9">
      <w:pPr>
        <w:pStyle w:val="Akapitzlist"/>
        <w:numPr>
          <w:ilvl w:val="0"/>
          <w:numId w:val="3"/>
        </w:numPr>
        <w:rPr>
          <w:rFonts w:ascii="Times New Roman" w:hAnsi="Times New Roman" w:cs="Times New Roman"/>
          <w:color w:val="000000" w:themeColor="text1"/>
          <w:sz w:val="18"/>
          <w:szCs w:val="18"/>
          <w:shd w:val="clear" w:color="auto" w:fill="FFFFFF"/>
        </w:rPr>
      </w:pPr>
      <w:proofErr w:type="spellStart"/>
      <w:r w:rsidRPr="005A39C9">
        <w:rPr>
          <w:rFonts w:ascii="Times New Roman" w:hAnsi="Times New Roman" w:cs="Times New Roman"/>
          <w:color w:val="000000" w:themeColor="text1"/>
          <w:sz w:val="18"/>
          <w:szCs w:val="18"/>
          <w:shd w:val="clear" w:color="auto" w:fill="FFFFFF"/>
        </w:rPr>
        <w:t>Jagur</w:t>
      </w:r>
      <w:r w:rsidRPr="005A39C9">
        <w:rPr>
          <w:rFonts w:ascii="Cambria Math" w:hAnsi="Cambria Math" w:cs="Cambria Math"/>
          <w:color w:val="000000" w:themeColor="text1"/>
          <w:sz w:val="18"/>
          <w:szCs w:val="18"/>
          <w:shd w:val="clear" w:color="auto" w:fill="FFFFFF"/>
        </w:rPr>
        <w:t>‐</w:t>
      </w:r>
      <w:r w:rsidRPr="005A39C9">
        <w:rPr>
          <w:rFonts w:ascii="Times New Roman" w:hAnsi="Times New Roman" w:cs="Times New Roman"/>
          <w:color w:val="000000" w:themeColor="text1"/>
          <w:sz w:val="18"/>
          <w:szCs w:val="18"/>
          <w:shd w:val="clear" w:color="auto" w:fill="FFFFFF"/>
        </w:rPr>
        <w:t>Grodzinski</w:t>
      </w:r>
      <w:proofErr w:type="spellEnd"/>
      <w:r w:rsidRPr="005A39C9">
        <w:rPr>
          <w:rFonts w:ascii="Times New Roman" w:hAnsi="Times New Roman" w:cs="Times New Roman"/>
          <w:color w:val="000000" w:themeColor="text1"/>
          <w:sz w:val="18"/>
          <w:szCs w:val="18"/>
          <w:shd w:val="clear" w:color="auto" w:fill="FFFFFF"/>
        </w:rPr>
        <w:t>, J. (2006). Polymers for tissue engineering, medical devices, and regenerative medicine. Concise general review of recent studies. Polymers for advanced technologies, 17(6), 395-418.</w:t>
      </w:r>
    </w:p>
    <w:p w:rsidR="005A39C9" w:rsidRPr="005A39C9" w:rsidRDefault="005A39C9" w:rsidP="005A39C9">
      <w:pPr>
        <w:pStyle w:val="Akapitzlist"/>
        <w:numPr>
          <w:ilvl w:val="0"/>
          <w:numId w:val="3"/>
        </w:numPr>
        <w:rPr>
          <w:rFonts w:ascii="Times New Roman" w:hAnsi="Times New Roman" w:cs="Times New Roman"/>
          <w:color w:val="000000" w:themeColor="text1"/>
          <w:sz w:val="18"/>
          <w:szCs w:val="18"/>
          <w:shd w:val="clear" w:color="auto" w:fill="FFFFFF"/>
        </w:rPr>
      </w:pPr>
      <w:proofErr w:type="spellStart"/>
      <w:r w:rsidRPr="005A39C9">
        <w:rPr>
          <w:rFonts w:ascii="Times New Roman" w:hAnsi="Times New Roman" w:cs="Times New Roman"/>
          <w:color w:val="000000" w:themeColor="text1"/>
          <w:sz w:val="18"/>
          <w:szCs w:val="18"/>
          <w:shd w:val="clear" w:color="auto" w:fill="FFFFFF"/>
        </w:rPr>
        <w:t>Hutmacher</w:t>
      </w:r>
      <w:proofErr w:type="spellEnd"/>
      <w:r w:rsidRPr="005A39C9">
        <w:rPr>
          <w:rFonts w:ascii="Times New Roman" w:hAnsi="Times New Roman" w:cs="Times New Roman"/>
          <w:color w:val="000000" w:themeColor="text1"/>
          <w:sz w:val="18"/>
          <w:szCs w:val="18"/>
          <w:shd w:val="clear" w:color="auto" w:fill="FFFFFF"/>
        </w:rPr>
        <w:t>, D. W. (2006). Regenerative medicine will impact, but not replace, the medical device industry. Expert review of medical devices, 3(4), 409-412.</w:t>
      </w:r>
    </w:p>
    <w:p w:rsidR="005A39C9" w:rsidRPr="005A39C9" w:rsidRDefault="005A39C9" w:rsidP="005A39C9">
      <w:pPr>
        <w:pStyle w:val="Akapitzlist"/>
        <w:numPr>
          <w:ilvl w:val="0"/>
          <w:numId w:val="3"/>
        </w:numPr>
        <w:rPr>
          <w:rFonts w:ascii="Times New Roman" w:hAnsi="Times New Roman" w:cs="Times New Roman"/>
          <w:color w:val="000000" w:themeColor="text1"/>
          <w:sz w:val="18"/>
          <w:szCs w:val="18"/>
          <w:shd w:val="clear" w:color="auto" w:fill="FFFFFF"/>
        </w:rPr>
      </w:pPr>
      <w:r w:rsidRPr="005A39C9">
        <w:rPr>
          <w:rFonts w:ascii="Times New Roman" w:hAnsi="Times New Roman" w:cs="Times New Roman"/>
          <w:color w:val="000000" w:themeColor="text1"/>
          <w:sz w:val="18"/>
          <w:szCs w:val="18"/>
          <w:shd w:val="clear" w:color="auto" w:fill="FFFFFF"/>
        </w:rPr>
        <w:t xml:space="preserve">Global Regenerative Medicine Market Analysis &amp; Forecast to 2022; Stem Cells, Tissue Engineering, </w:t>
      </w:r>
      <w:proofErr w:type="spellStart"/>
      <w:r w:rsidRPr="005A39C9">
        <w:rPr>
          <w:rFonts w:ascii="Times New Roman" w:hAnsi="Times New Roman" w:cs="Times New Roman"/>
          <w:color w:val="000000" w:themeColor="text1"/>
          <w:sz w:val="18"/>
          <w:szCs w:val="18"/>
          <w:shd w:val="clear" w:color="auto" w:fill="FFFFFF"/>
        </w:rPr>
        <w:t>BioBanking</w:t>
      </w:r>
      <w:proofErr w:type="spellEnd"/>
      <w:r w:rsidRPr="005A39C9">
        <w:rPr>
          <w:rFonts w:ascii="Times New Roman" w:hAnsi="Times New Roman" w:cs="Times New Roman"/>
          <w:color w:val="000000" w:themeColor="text1"/>
          <w:sz w:val="18"/>
          <w:szCs w:val="18"/>
          <w:shd w:val="clear" w:color="auto" w:fill="FFFFFF"/>
        </w:rPr>
        <w:t xml:space="preserve"> &amp; CAR-T Industries (2018) </w:t>
      </w:r>
      <w:proofErr w:type="spellStart"/>
      <w:r w:rsidRPr="005A39C9">
        <w:rPr>
          <w:rFonts w:ascii="Times New Roman" w:hAnsi="Times New Roman" w:cs="Times New Roman"/>
          <w:color w:val="000000" w:themeColor="text1"/>
          <w:sz w:val="18"/>
          <w:szCs w:val="18"/>
          <w:shd w:val="clear" w:color="auto" w:fill="FFFFFF"/>
        </w:rPr>
        <w:t>WiseGuyReports.Com</w:t>
      </w:r>
      <w:proofErr w:type="spellEnd"/>
      <w:r w:rsidRPr="005A39C9">
        <w:rPr>
          <w:rFonts w:ascii="Times New Roman" w:hAnsi="Times New Roman" w:cs="Times New Roman"/>
          <w:color w:val="000000" w:themeColor="text1"/>
          <w:sz w:val="18"/>
          <w:szCs w:val="18"/>
          <w:shd w:val="clear" w:color="auto" w:fill="FFFFFF"/>
        </w:rPr>
        <w:t xml:space="preserve"> Publish</w:t>
      </w:r>
    </w:p>
    <w:p w:rsidR="00B15A94" w:rsidRPr="005A39C9" w:rsidRDefault="005A39C9" w:rsidP="005A39C9">
      <w:pPr>
        <w:pStyle w:val="Akapitzlist"/>
        <w:numPr>
          <w:ilvl w:val="0"/>
          <w:numId w:val="3"/>
        </w:numPr>
        <w:ind w:firstLine="0"/>
      </w:pPr>
      <w:proofErr w:type="spellStart"/>
      <w:r w:rsidRPr="005A39C9">
        <w:rPr>
          <w:rFonts w:ascii="Times New Roman" w:hAnsi="Times New Roman" w:cs="Times New Roman"/>
          <w:color w:val="000000" w:themeColor="text1"/>
          <w:sz w:val="18"/>
          <w:szCs w:val="18"/>
          <w:shd w:val="clear" w:color="auto" w:fill="FFFFFF"/>
          <w:lang w:val="pl-PL"/>
        </w:rPr>
        <w:t>Unal</w:t>
      </w:r>
      <w:proofErr w:type="spellEnd"/>
      <w:r w:rsidRPr="005A39C9">
        <w:rPr>
          <w:rFonts w:ascii="Times New Roman" w:hAnsi="Times New Roman" w:cs="Times New Roman"/>
          <w:color w:val="000000" w:themeColor="text1"/>
          <w:sz w:val="18"/>
          <w:szCs w:val="18"/>
          <w:shd w:val="clear" w:color="auto" w:fill="FFFFFF"/>
          <w:lang w:val="pl-PL"/>
        </w:rPr>
        <w:t xml:space="preserve">, M., </w:t>
      </w:r>
      <w:proofErr w:type="spellStart"/>
      <w:r w:rsidRPr="005A39C9">
        <w:rPr>
          <w:rFonts w:ascii="Times New Roman" w:hAnsi="Times New Roman" w:cs="Times New Roman"/>
          <w:color w:val="000000" w:themeColor="text1"/>
          <w:sz w:val="18"/>
          <w:szCs w:val="18"/>
          <w:shd w:val="clear" w:color="auto" w:fill="FFFFFF"/>
          <w:lang w:val="pl-PL"/>
        </w:rPr>
        <w:t>Alapan</w:t>
      </w:r>
      <w:proofErr w:type="spellEnd"/>
      <w:r w:rsidRPr="005A39C9">
        <w:rPr>
          <w:rFonts w:ascii="Times New Roman" w:hAnsi="Times New Roman" w:cs="Times New Roman"/>
          <w:color w:val="000000" w:themeColor="text1"/>
          <w:sz w:val="18"/>
          <w:szCs w:val="18"/>
          <w:shd w:val="clear" w:color="auto" w:fill="FFFFFF"/>
          <w:lang w:val="pl-PL"/>
        </w:rPr>
        <w:t xml:space="preserve">, Y., </w:t>
      </w:r>
      <w:proofErr w:type="spellStart"/>
      <w:r w:rsidRPr="005A39C9">
        <w:rPr>
          <w:rFonts w:ascii="Times New Roman" w:hAnsi="Times New Roman" w:cs="Times New Roman"/>
          <w:color w:val="000000" w:themeColor="text1"/>
          <w:sz w:val="18"/>
          <w:szCs w:val="18"/>
          <w:shd w:val="clear" w:color="auto" w:fill="FFFFFF"/>
          <w:lang w:val="pl-PL"/>
        </w:rPr>
        <w:t>Jia</w:t>
      </w:r>
      <w:proofErr w:type="spellEnd"/>
      <w:r w:rsidRPr="005A39C9">
        <w:rPr>
          <w:rFonts w:ascii="Times New Roman" w:hAnsi="Times New Roman" w:cs="Times New Roman"/>
          <w:color w:val="000000" w:themeColor="text1"/>
          <w:sz w:val="18"/>
          <w:szCs w:val="18"/>
          <w:shd w:val="clear" w:color="auto" w:fill="FFFFFF"/>
          <w:lang w:val="pl-PL"/>
        </w:rPr>
        <w:t xml:space="preserve">, H., </w:t>
      </w:r>
      <w:proofErr w:type="spellStart"/>
      <w:r w:rsidRPr="005A39C9">
        <w:rPr>
          <w:rFonts w:ascii="Times New Roman" w:hAnsi="Times New Roman" w:cs="Times New Roman"/>
          <w:color w:val="000000" w:themeColor="text1"/>
          <w:sz w:val="18"/>
          <w:szCs w:val="18"/>
          <w:shd w:val="clear" w:color="auto" w:fill="FFFFFF"/>
          <w:lang w:val="pl-PL"/>
        </w:rPr>
        <w:t>et.al</w:t>
      </w:r>
      <w:proofErr w:type="spellEnd"/>
      <w:r w:rsidRPr="005A39C9">
        <w:rPr>
          <w:rFonts w:ascii="Times New Roman" w:hAnsi="Times New Roman" w:cs="Times New Roman"/>
          <w:color w:val="000000" w:themeColor="text1"/>
          <w:sz w:val="18"/>
          <w:szCs w:val="18"/>
          <w:shd w:val="clear" w:color="auto" w:fill="FFFFFF"/>
          <w:lang w:val="pl-PL"/>
        </w:rPr>
        <w:t xml:space="preserve">. (2014). </w:t>
      </w:r>
      <w:r w:rsidRPr="005A39C9">
        <w:rPr>
          <w:rFonts w:ascii="Times New Roman" w:hAnsi="Times New Roman" w:cs="Times New Roman"/>
          <w:color w:val="000000" w:themeColor="text1"/>
          <w:sz w:val="18"/>
          <w:szCs w:val="18"/>
          <w:shd w:val="clear" w:color="auto" w:fill="FFFFFF"/>
        </w:rPr>
        <w:t xml:space="preserve">Micro and </w:t>
      </w:r>
      <w:proofErr w:type="spellStart"/>
      <w:r w:rsidRPr="005A39C9">
        <w:rPr>
          <w:rFonts w:ascii="Times New Roman" w:hAnsi="Times New Roman" w:cs="Times New Roman"/>
          <w:color w:val="000000" w:themeColor="text1"/>
          <w:sz w:val="18"/>
          <w:szCs w:val="18"/>
          <w:shd w:val="clear" w:color="auto" w:fill="FFFFFF"/>
        </w:rPr>
        <w:t>nano</w:t>
      </w:r>
      <w:proofErr w:type="spellEnd"/>
      <w:r w:rsidRPr="005A39C9">
        <w:rPr>
          <w:rFonts w:ascii="Times New Roman" w:hAnsi="Times New Roman" w:cs="Times New Roman"/>
          <w:color w:val="000000" w:themeColor="text1"/>
          <w:sz w:val="18"/>
          <w:szCs w:val="18"/>
          <w:shd w:val="clear" w:color="auto" w:fill="FFFFFF"/>
        </w:rPr>
        <w:t xml:space="preserve">-scale technologies for cell mechanics. </w:t>
      </w:r>
      <w:proofErr w:type="spellStart"/>
      <w:r w:rsidRPr="005A39C9">
        <w:rPr>
          <w:rFonts w:ascii="Times New Roman" w:hAnsi="Times New Roman" w:cs="Times New Roman"/>
          <w:color w:val="000000" w:themeColor="text1"/>
          <w:sz w:val="18"/>
          <w:szCs w:val="18"/>
          <w:shd w:val="clear" w:color="auto" w:fill="FFFFFF"/>
        </w:rPr>
        <w:t>Nanobiomedicine</w:t>
      </w:r>
      <w:proofErr w:type="spellEnd"/>
      <w:r w:rsidRPr="005A39C9">
        <w:rPr>
          <w:rFonts w:ascii="Times New Roman" w:hAnsi="Times New Roman" w:cs="Times New Roman"/>
          <w:color w:val="000000" w:themeColor="text1"/>
          <w:sz w:val="18"/>
          <w:szCs w:val="18"/>
          <w:shd w:val="clear" w:color="auto" w:fill="FFFFFF"/>
        </w:rPr>
        <w:t>, 1(</w:t>
      </w:r>
      <w:proofErr w:type="spellStart"/>
      <w:r w:rsidRPr="005A39C9">
        <w:rPr>
          <w:rFonts w:ascii="Times New Roman" w:hAnsi="Times New Roman" w:cs="Times New Roman"/>
          <w:color w:val="000000" w:themeColor="text1"/>
          <w:sz w:val="18"/>
          <w:szCs w:val="18"/>
          <w:shd w:val="clear" w:color="auto" w:fill="FFFFFF"/>
        </w:rPr>
        <w:t>Godište</w:t>
      </w:r>
      <w:proofErr w:type="spellEnd"/>
      <w:r w:rsidRPr="005A39C9">
        <w:rPr>
          <w:rFonts w:ascii="Times New Roman" w:hAnsi="Times New Roman" w:cs="Times New Roman"/>
          <w:color w:val="000000" w:themeColor="text1"/>
          <w:sz w:val="18"/>
          <w:szCs w:val="18"/>
          <w:shd w:val="clear" w:color="auto" w:fill="FFFFFF"/>
        </w:rPr>
        <w:t xml:space="preserve"> 2014), 1-5</w:t>
      </w:r>
    </w:p>
    <w:p w:rsidR="00B15A94" w:rsidRDefault="00B15A94">
      <w:pPr>
        <w:spacing w:line="200" w:lineRule="exact"/>
        <w:jc w:val="both"/>
        <w:rPr>
          <w:rFonts w:ascii="Calibri" w:hAnsi="Calibri"/>
        </w:rPr>
        <w:sectPr w:rsidR="00B15A94">
          <w:type w:val="continuous"/>
          <w:pgSz w:w="11910" w:h="16840"/>
          <w:pgMar w:top="1740" w:right="600" w:bottom="840" w:left="620" w:header="720" w:footer="720" w:gutter="0"/>
          <w:cols w:num="2" w:space="720" w:equalWidth="0">
            <w:col w:w="5214" w:space="138"/>
            <w:col w:w="5338"/>
          </w:cols>
        </w:sectPr>
      </w:pPr>
    </w:p>
    <w:p w:rsidR="00AE3E37" w:rsidRDefault="00AE3E37">
      <w:pPr>
        <w:pStyle w:val="Tekstpodstawowy"/>
        <w:rPr>
          <w:rFonts w:ascii="Calibri"/>
          <w:sz w:val="20"/>
        </w:rPr>
      </w:pPr>
    </w:p>
    <w:p w:rsidR="00AE3E37" w:rsidRDefault="00AE3E37">
      <w:pPr>
        <w:pStyle w:val="Tekstpodstawowy"/>
        <w:rPr>
          <w:rFonts w:ascii="Calibri"/>
          <w:sz w:val="20"/>
        </w:rPr>
      </w:pPr>
    </w:p>
    <w:p w:rsidR="00AE3E37" w:rsidRDefault="00815B72">
      <w:pPr>
        <w:pStyle w:val="Tekstpodstawowy"/>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hd28IAAADbAAAADwAAAGRycy9kb3ducmV2LnhtbERPTU8CMRC9m/gfmjHxJq3EELNQCGoM&#10;Gk4gHLhNtsN2Qztd27Ks/96SmHibl/c5s8XgnegppjawhseRAkFcB9Nyo2H39f7wDCJlZIMuMGn4&#10;oQSL+e3NDCsTLryhfpsbUUI4VajB5txVUqbaksc0Ch1x4Y4heswFxkaaiJcS7p0cKzWRHlsuDRY7&#10;erVUn7Znr0FtvidWvbnPU/+S+8PKrZ/2bdT6/m5YTkFkGvK/+M/9Ycr8MVx/KQfI+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Mhd28IAAADbAAAADwAAAAAAAAAAAAAA&#10;AAChAgAAZHJzL2Rvd25yZXYueG1sUEsFBgAAAAAEAAQA+QAAAJADAAAAAA==&#10;" strokecolor="#004080" strokeweight="2pt"/>
                <w10:anchorlock/>
              </v:group>
            </w:pict>
          </mc:Fallback>
        </mc:AlternateContent>
      </w:r>
    </w:p>
    <w:p w:rsidR="00AE3E37" w:rsidRDefault="00404E5B" w:rsidP="00404E5B">
      <w:pPr>
        <w:spacing w:before="92"/>
        <w:ind w:right="4234"/>
        <w:rPr>
          <w:rFonts w:ascii="Arial"/>
        </w:rPr>
      </w:pPr>
      <w:r>
        <w:rPr>
          <w:rFonts w:ascii="Arial"/>
          <w:color w:val="BF5A14"/>
        </w:rPr>
        <w:t xml:space="preserve">                                          </w:t>
      </w:r>
      <w:r w:rsidR="00281C4A">
        <w:rPr>
          <w:rFonts w:ascii="Arial"/>
          <w:color w:val="BF5A14"/>
        </w:rPr>
        <w:t xml:space="preserve">             </w:t>
      </w:r>
      <w:r w:rsidR="00A9710C">
        <w:rPr>
          <w:rFonts w:ascii="Arial"/>
          <w:color w:val="BF5A14"/>
        </w:rPr>
        <w:t>Biography</w:t>
      </w:r>
      <w:r w:rsidR="00281C4A">
        <w:rPr>
          <w:rFonts w:ascii="Arial"/>
          <w:color w:val="BF5A14"/>
        </w:rPr>
        <w:t xml:space="preserve"> </w:t>
      </w:r>
    </w:p>
    <w:p w:rsidR="005A39C9" w:rsidRPr="005A39C9" w:rsidRDefault="005A39C9" w:rsidP="005A39C9">
      <w:pPr>
        <w:spacing w:before="41" w:line="154" w:lineRule="exact"/>
        <w:ind w:left="213" w:right="231"/>
        <w:jc w:val="both"/>
        <w:rPr>
          <w:rFonts w:ascii="Arial"/>
          <w:sz w:val="14"/>
        </w:rPr>
      </w:pPr>
      <w:r>
        <w:rPr>
          <w:noProof/>
          <w:lang w:val="en-GB" w:eastAsia="en-GB"/>
        </w:rPr>
        <w:drawing>
          <wp:anchor distT="0" distB="0" distL="114300" distR="114300" simplePos="0" relativeHeight="251662336" behindDoc="1" locked="0" layoutInCell="1" allowOverlap="1" wp14:anchorId="20011BF6" wp14:editId="659A7C8A">
            <wp:simplePos x="0" y="0"/>
            <wp:positionH relativeFrom="column">
              <wp:posOffset>209550</wp:posOffset>
            </wp:positionH>
            <wp:positionV relativeFrom="paragraph">
              <wp:posOffset>89535</wp:posOffset>
            </wp:positionV>
            <wp:extent cx="643255" cy="633095"/>
            <wp:effectExtent l="0" t="0" r="4445" b="0"/>
            <wp:wrapTight wrapText="bothSides">
              <wp:wrapPolygon edited="0">
                <wp:start x="0" y="0"/>
                <wp:lineTo x="0" y="20798"/>
                <wp:lineTo x="21110" y="20798"/>
                <wp:lineTo x="21110" y="0"/>
                <wp:lineTo x="0" y="0"/>
              </wp:wrapPolygon>
            </wp:wrapTight>
            <wp:docPr id="4" name="Obraz 4" descr="http://ligamed.ippt.pan.pl/images/Doro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ligamed.ippt.pan.pl/images/Dorota.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34487"/>
                    <a:stretch/>
                  </pic:blipFill>
                  <pic:spPr bwMode="auto">
                    <a:xfrm>
                      <a:off x="0" y="0"/>
                      <a:ext cx="643255" cy="6330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Pr="005A39C9">
        <w:rPr>
          <w:rFonts w:ascii="Arial"/>
          <w:sz w:val="14"/>
        </w:rPr>
        <w:t>Dr</w:t>
      </w:r>
      <w:proofErr w:type="spellEnd"/>
      <w:r w:rsidRPr="005A39C9">
        <w:rPr>
          <w:rFonts w:ascii="Arial"/>
          <w:sz w:val="14"/>
        </w:rPr>
        <w:t xml:space="preserve"> </w:t>
      </w:r>
      <w:proofErr w:type="spellStart"/>
      <w:r w:rsidRPr="005A39C9">
        <w:rPr>
          <w:rFonts w:ascii="Arial"/>
          <w:sz w:val="14"/>
        </w:rPr>
        <w:t>Dorota</w:t>
      </w:r>
      <w:proofErr w:type="spellEnd"/>
      <w:r w:rsidRPr="005A39C9">
        <w:rPr>
          <w:rFonts w:ascii="Arial"/>
          <w:sz w:val="14"/>
        </w:rPr>
        <w:t xml:space="preserve"> Ko</w:t>
      </w:r>
      <w:r w:rsidRPr="005A39C9">
        <w:rPr>
          <w:rFonts w:ascii="Arial"/>
          <w:sz w:val="14"/>
        </w:rPr>
        <w:t>ł</w:t>
      </w:r>
      <w:r w:rsidRPr="005A39C9">
        <w:rPr>
          <w:rFonts w:ascii="Arial"/>
          <w:sz w:val="14"/>
        </w:rPr>
        <w:t>buk-</w:t>
      </w:r>
      <w:proofErr w:type="spellStart"/>
      <w:r w:rsidRPr="005A39C9">
        <w:rPr>
          <w:rFonts w:ascii="Arial"/>
          <w:sz w:val="14"/>
        </w:rPr>
        <w:t>Konieczny</w:t>
      </w:r>
      <w:proofErr w:type="spellEnd"/>
      <w:r w:rsidRPr="005A39C9">
        <w:rPr>
          <w:rFonts w:ascii="Arial"/>
          <w:sz w:val="14"/>
        </w:rPr>
        <w:t xml:space="preserve"> is an alumna of Materials Science and Engineering  Department at Warsaw University of Technology (PL), doctoral studies at the Institute of Fundamental Technological Research of the Polish Academy of Sciences (PL), the Socrates-Erasmus Program (ILK, DE), the </w:t>
      </w:r>
      <w:proofErr w:type="spellStart"/>
      <w:r w:rsidRPr="005A39C9">
        <w:rPr>
          <w:rFonts w:ascii="Arial"/>
          <w:sz w:val="14"/>
        </w:rPr>
        <w:t>SCIEX</w:t>
      </w:r>
      <w:proofErr w:type="spellEnd"/>
      <w:r w:rsidRPr="005A39C9">
        <w:rPr>
          <w:rFonts w:ascii="Arial"/>
          <w:sz w:val="14"/>
        </w:rPr>
        <w:t xml:space="preserve"> Program (</w:t>
      </w:r>
      <w:proofErr w:type="spellStart"/>
      <w:r w:rsidRPr="005A39C9">
        <w:rPr>
          <w:rFonts w:ascii="Arial"/>
          <w:sz w:val="14"/>
        </w:rPr>
        <w:t>EMPA</w:t>
      </w:r>
      <w:proofErr w:type="spellEnd"/>
      <w:r w:rsidRPr="005A39C9">
        <w:rPr>
          <w:rFonts w:ascii="Arial"/>
          <w:sz w:val="14"/>
        </w:rPr>
        <w:t xml:space="preserve"> St. </w:t>
      </w:r>
      <w:proofErr w:type="spellStart"/>
      <w:r w:rsidRPr="005A39C9">
        <w:rPr>
          <w:rFonts w:ascii="Arial"/>
          <w:sz w:val="14"/>
        </w:rPr>
        <w:t>Gallen</w:t>
      </w:r>
      <w:proofErr w:type="spellEnd"/>
      <w:r w:rsidRPr="005A39C9">
        <w:rPr>
          <w:rFonts w:ascii="Arial"/>
          <w:sz w:val="14"/>
        </w:rPr>
        <w:t>, CH) and Top 500 Innovators Program (UK).</w:t>
      </w:r>
    </w:p>
    <w:p w:rsidR="00AE3E37" w:rsidRPr="00C91504" w:rsidRDefault="005A39C9" w:rsidP="005A39C9">
      <w:pPr>
        <w:spacing w:before="41" w:line="154" w:lineRule="exact"/>
        <w:ind w:left="213" w:right="231"/>
        <w:jc w:val="both"/>
        <w:rPr>
          <w:rFonts w:ascii="Arial"/>
          <w:sz w:val="16"/>
          <w:szCs w:val="16"/>
        </w:rPr>
      </w:pPr>
      <w:r w:rsidRPr="005A39C9">
        <w:rPr>
          <w:rFonts w:ascii="Arial"/>
          <w:sz w:val="14"/>
        </w:rPr>
        <w:t xml:space="preserve">Her professional research currently focuses on the molecular structure of polymers/biopolymers and scaffold development for ligament, cartilage and bone regeneration. She has held several training courses on technology transfer, preclinical research and medical devices regulation, research management and </w:t>
      </w:r>
      <w:r w:rsidRPr="005A39C9">
        <w:rPr>
          <w:rFonts w:ascii="Arial"/>
          <w:sz w:val="14"/>
        </w:rPr>
        <w:t>commercialization</w:t>
      </w:r>
      <w:r w:rsidRPr="005A39C9">
        <w:rPr>
          <w:rFonts w:ascii="Arial"/>
          <w:sz w:val="14"/>
        </w:rPr>
        <w:t>. Her scientific results have been presented at several international conferences and published in reputable scientific journals.</w:t>
      </w:r>
      <w:r w:rsidR="00281C4A">
        <w:rPr>
          <w:rFonts w:ascii="Arial" w:hAnsi="Arial" w:cs="Arial"/>
          <w:color w:val="000000"/>
          <w:sz w:val="14"/>
          <w:szCs w:val="14"/>
          <w:shd w:val="clear" w:color="auto" w:fill="FFFFFF"/>
        </w:rPr>
        <w:t xml:space="preserve">. </w:t>
      </w:r>
    </w:p>
    <w:p w:rsidR="00AE3E37" w:rsidRDefault="005A39C9">
      <w:pPr>
        <w:spacing w:before="62"/>
        <w:ind w:left="4217" w:right="4235"/>
        <w:jc w:val="center"/>
        <w:rPr>
          <w:rFonts w:ascii="Arial"/>
          <w:sz w:val="14"/>
        </w:rPr>
      </w:pPr>
      <w:proofErr w:type="spellStart"/>
      <w:r>
        <w:rPr>
          <w:rFonts w:ascii="Arial"/>
          <w:sz w:val="14"/>
        </w:rPr>
        <w:t>e</w:t>
      </w:r>
      <w:r w:rsidR="00A9710C">
        <w:rPr>
          <w:rFonts w:ascii="Arial"/>
          <w:sz w:val="14"/>
        </w:rPr>
        <w:t>mail:</w:t>
      </w:r>
      <w:r>
        <w:rPr>
          <w:rFonts w:ascii="Arial"/>
          <w:sz w:val="14"/>
        </w:rPr>
        <w:t>d</w:t>
      </w:r>
      <w:bookmarkStart w:id="0" w:name="_GoBack"/>
      <w:bookmarkEnd w:id="0"/>
      <w:r w:rsidRPr="008A05BE">
        <w:rPr>
          <w:sz w:val="18"/>
          <w:szCs w:val="18"/>
        </w:rPr>
        <w:t>orotakolbuk@gmail.com</w:t>
      </w:r>
      <w:proofErr w:type="spellEnd"/>
    </w:p>
    <w:p w:rsidR="00AE3E37" w:rsidRDefault="00815B72">
      <w:pPr>
        <w:pStyle w:val="Tekstpodstawowy"/>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815B72" w:rsidRDefault="00A9710C" w:rsidP="00815B72">
      <w:pPr>
        <w:spacing w:line="204" w:lineRule="exact"/>
        <w:rPr>
          <w:rFonts w:ascii="Calibri" w:hAnsi="Calibri"/>
        </w:rPr>
      </w:pPr>
      <w:r>
        <w:lastRenderedPageBreak/>
        <w:br w:type="column"/>
      </w: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CE1" w:rsidRDefault="003D7CE1">
      <w:r>
        <w:separator/>
      </w:r>
    </w:p>
  </w:endnote>
  <w:endnote w:type="continuationSeparator" w:id="0">
    <w:p w:rsidR="003D7CE1" w:rsidRDefault="003D7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Math">
    <w:panose1 w:val="02040503050406030204"/>
    <w:charset w:val="EE"/>
    <w:family w:val="roman"/>
    <w:pitch w:val="variable"/>
    <w:sig w:usb0="E00002FF" w:usb1="420024FF"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15B72">
    <w:pPr>
      <w:pStyle w:val="Tekstpodstawowy"/>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66F63A85" wp14:editId="0F2FEBB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3C71A3F1" wp14:editId="6EAB28B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37450DD4" wp14:editId="6F305DB2">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CE1" w:rsidRDefault="003D7CE1">
      <w:r>
        <w:separator/>
      </w:r>
    </w:p>
  </w:footnote>
  <w:footnote w:type="continuationSeparator" w:id="0">
    <w:p w:rsidR="003D7CE1" w:rsidRDefault="003D7C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15B72">
    <w:pPr>
      <w:pStyle w:val="Tekstpodstawowy"/>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54023EAD" wp14:editId="752B5274">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w:t>
                            </w:r>
                            <w:proofErr w:type="spellStart"/>
                            <w:r w:rsidRPr="005B3A56">
                              <w:rPr>
                                <w:rFonts w:ascii="Arial"/>
                                <w:color w:val="FFFFFF" w:themeColor="background1"/>
                                <w:sz w:val="14"/>
                              </w:rPr>
                              <w:t>dx.doi.org</w:t>
                            </w:r>
                            <w:proofErr w:type="spellEnd"/>
                            <w:r w:rsidRPr="005B3A56">
                              <w:rPr>
                                <w:rFonts w:ascii="Arial"/>
                                <w:color w:val="FFFFFF" w:themeColor="background1"/>
                                <w:sz w:val="14"/>
                              </w:rPr>
                              <w:t>/10.4172/2167-</w:t>
                            </w:r>
                            <w:proofErr w:type="spellStart"/>
                            <w:r w:rsidRPr="005B3A56">
                              <w:rPr>
                                <w:rFonts w:ascii="Arial"/>
                                <w:color w:val="FFFFFF" w:themeColor="background1"/>
                                <w:sz w:val="14"/>
                              </w:rPr>
                              <w:t>0846.C1.006</w:t>
                            </w:r>
                            <w:proofErr w:type="spellEnd"/>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1A0723A7" wp14:editId="1EEF8CB8">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4C7031"/>
    <w:multiLevelType w:val="hybridMultilevel"/>
    <w:tmpl w:val="18783990"/>
    <w:lvl w:ilvl="0" w:tplc="0809000F">
      <w:start w:val="1"/>
      <w:numFmt w:val="decimal"/>
      <w:lvlText w:val="%1."/>
      <w:lvlJc w:val="left"/>
      <w:pPr>
        <w:ind w:left="820" w:hanging="360"/>
      </w:p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1">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F7E4F"/>
    <w:rsid w:val="001263DF"/>
    <w:rsid w:val="001575C0"/>
    <w:rsid w:val="00170372"/>
    <w:rsid w:val="0025173F"/>
    <w:rsid w:val="00281C4A"/>
    <w:rsid w:val="003D7CE1"/>
    <w:rsid w:val="00404E5B"/>
    <w:rsid w:val="00414F7B"/>
    <w:rsid w:val="004355DC"/>
    <w:rsid w:val="004749B4"/>
    <w:rsid w:val="004F3523"/>
    <w:rsid w:val="005A39C9"/>
    <w:rsid w:val="005B3A56"/>
    <w:rsid w:val="006060CE"/>
    <w:rsid w:val="0063497F"/>
    <w:rsid w:val="006D5E1D"/>
    <w:rsid w:val="00815B72"/>
    <w:rsid w:val="00873DF0"/>
    <w:rsid w:val="00901D18"/>
    <w:rsid w:val="009B2D44"/>
    <w:rsid w:val="00A21CB1"/>
    <w:rsid w:val="00A9710C"/>
    <w:rsid w:val="00AE3E37"/>
    <w:rsid w:val="00B15A94"/>
    <w:rsid w:val="00B21A57"/>
    <w:rsid w:val="00C33602"/>
    <w:rsid w:val="00C91504"/>
    <w:rsid w:val="00CD6F55"/>
    <w:rsid w:val="00DD353E"/>
    <w:rsid w:val="00EC4EC0"/>
    <w:rsid w:val="00EE142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customStyle="1" w:styleId="apple-converted-space">
    <w:name w:val="apple-converted-space"/>
    <w:basedOn w:val="Domylnaczcionkaakapitu"/>
    <w:rsid w:val="00B15A94"/>
  </w:style>
  <w:style w:type="character" w:styleId="Hipercze">
    <w:name w:val="Hyperlink"/>
    <w:basedOn w:val="Domylnaczcionkaakapitu"/>
    <w:uiPriority w:val="99"/>
    <w:unhideWhenUsed/>
    <w:rsid w:val="00EC4EC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customStyle="1" w:styleId="apple-converted-space">
    <w:name w:val="apple-converted-space"/>
    <w:basedOn w:val="Domylnaczcionkaakapitu"/>
    <w:rsid w:val="00B15A94"/>
  </w:style>
  <w:style w:type="character" w:styleId="Hipercze">
    <w:name w:val="Hyperlink"/>
    <w:basedOn w:val="Domylnaczcionkaakapitu"/>
    <w:uiPriority w:val="99"/>
    <w:unhideWhenUsed/>
    <w:rsid w:val="00EC4EC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538</Words>
  <Characters>3067</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DK</cp:lastModifiedBy>
  <cp:revision>2</cp:revision>
  <dcterms:created xsi:type="dcterms:W3CDTF">2018-07-06T07:54:00Z</dcterms:created>
  <dcterms:modified xsi:type="dcterms:W3CDTF">2018-07-06T07:54:00Z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