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140C61" w:rsidP="00494130">
      <w:pPr>
        <w:pStyle w:val="Heading1"/>
        <w:spacing w:before="170"/>
        <w:ind w:left="0"/>
      </w:pPr>
      <w:r w:rsidRPr="00140C61">
        <w:rPr>
          <w:color w:val="337AB7"/>
        </w:rPr>
        <w:t>Potential Therapeutic Implications of Hematopoietic Stem Cell Gene Therapy in Correction of Mutation-Causing Human Beta-Thalassemia</w:t>
      </w:r>
    </w:p>
    <w:p w:rsidR="00AE3E37" w:rsidRDefault="00140C61" w:rsidP="00140C61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  <w:r w:rsidRPr="00140C61">
        <w:rPr>
          <w:rFonts w:ascii="Arial"/>
        </w:rPr>
        <w:t>D</w:t>
      </w:r>
      <w:r>
        <w:rPr>
          <w:rFonts w:ascii="Arial"/>
        </w:rPr>
        <w:t xml:space="preserve">ina </w:t>
      </w:r>
      <w:r w:rsidRPr="00140C61">
        <w:rPr>
          <w:rFonts w:ascii="Arial"/>
        </w:rPr>
        <w:t xml:space="preserve">A. </w:t>
      </w:r>
      <w:proofErr w:type="spellStart"/>
      <w:r w:rsidRPr="00140C61">
        <w:rPr>
          <w:rFonts w:ascii="Arial"/>
        </w:rPr>
        <w:t>G</w:t>
      </w:r>
      <w:r>
        <w:rPr>
          <w:rFonts w:ascii="Arial"/>
        </w:rPr>
        <w:t>horaba</w:t>
      </w:r>
      <w:proofErr w:type="spellEnd"/>
      <w:r w:rsidRPr="00140C61">
        <w:rPr>
          <w:rFonts w:ascii="Arial"/>
        </w:rPr>
        <w:t>,</w:t>
      </w:r>
      <w:r>
        <w:rPr>
          <w:rFonts w:ascii="Arial"/>
        </w:rPr>
        <w:t xml:space="preserve"> Physician Scientist, </w:t>
      </w:r>
      <w:proofErr w:type="spellStart"/>
      <w:r>
        <w:rPr>
          <w:rFonts w:ascii="Arial"/>
        </w:rPr>
        <w:t>Kasr</w:t>
      </w:r>
      <w:proofErr w:type="spellEnd"/>
      <w:r>
        <w:rPr>
          <w:rFonts w:ascii="Arial"/>
        </w:rPr>
        <w:t xml:space="preserve"> El </w:t>
      </w:r>
      <w:proofErr w:type="spellStart"/>
      <w:r>
        <w:rPr>
          <w:rFonts w:ascii="Arial"/>
        </w:rPr>
        <w:t>Aini</w:t>
      </w:r>
      <w:proofErr w:type="spellEnd"/>
      <w:r>
        <w:rPr>
          <w:rFonts w:ascii="Arial"/>
        </w:rPr>
        <w:t xml:space="preserve"> Medical School Teaching Hospitals, Cairo, Egypt.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140C61" w:rsidRDefault="00140C61" w:rsidP="00140C61">
      <w:pPr>
        <w:pStyle w:val="BodyText"/>
        <w:spacing w:before="90" w:line="280" w:lineRule="auto"/>
        <w:ind w:left="100"/>
      </w:pPr>
      <w:r>
        <w:t xml:space="preserve">Hematopoietic stem cell gene therapy (HSC-GT) or In-vivo gene-based autologous stem cell transplant is one of the most exciting clinical tools to emerge from the gene therapy. </w:t>
      </w:r>
    </w:p>
    <w:p w:rsidR="00AE3E37" w:rsidRDefault="00140C61" w:rsidP="00140C61">
      <w:pPr>
        <w:pStyle w:val="BodyText"/>
        <w:spacing w:before="90" w:line="280" w:lineRule="auto"/>
        <w:ind w:left="100"/>
        <w:jc w:val="both"/>
      </w:pPr>
      <w:r>
        <w:t xml:space="preserve">By using integrating vectors, therapeutic transgenes can be efficiently transmitted to all HSC-derived mature hematopoietic stem cells via mitosis. This strategy generates an alternative or complementary clinical therapy for bone marrow transplant patients with no related human-leukocyte-antigen-matched or </w:t>
      </w:r>
      <w:proofErr w:type="spellStart"/>
      <w:r>
        <w:t>geno</w:t>
      </w:r>
      <w:proofErr w:type="spellEnd"/>
      <w:r>
        <w:t xml:space="preserve">-identical donors. Successful HSC-GT clinical trials have been conducted to treat several genetic and immune diseases of the hematopoietic system as X-linked severe combined immunodeficiency (SCID-X1) and </w:t>
      </w:r>
      <w:r>
        <w:rPr>
          <w:rFonts w:ascii="Arial" w:hAnsi="Arial" w:cs="Arial"/>
        </w:rPr>
        <w:t>β</w:t>
      </w:r>
      <w:r>
        <w:t xml:space="preserve">- thalassemia. In this research we will study the effect of transfection of an erythroid promotor vector mediated normal human </w:t>
      </w:r>
      <w:r>
        <w:rPr>
          <w:rFonts w:ascii="Arial" w:hAnsi="Arial" w:cs="Arial"/>
        </w:rPr>
        <w:t>β</w:t>
      </w:r>
      <w:r>
        <w:t xml:space="preserve">-globin gene sequence (hemoglobin subunit beta- HBB) construct to HSCs culture media from </w:t>
      </w:r>
      <w:r>
        <w:rPr>
          <w:rFonts w:ascii="Arial" w:hAnsi="Arial" w:cs="Arial"/>
        </w:rPr>
        <w:t>β</w:t>
      </w:r>
      <w:r>
        <w:t>- thalassemia patients.</w:t>
      </w:r>
    </w:p>
    <w:p w:rsidR="00AE3E37" w:rsidRPr="002D2457" w:rsidRDefault="00A9710C" w:rsidP="002D2457">
      <w:pPr>
        <w:pStyle w:val="Heading3"/>
        <w:spacing w:before="74"/>
        <w:ind w:left="0"/>
      </w:pPr>
      <w:r>
        <w:rPr>
          <w:b w:val="0"/>
        </w:rPr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140C61" w:rsidRPr="00140C61" w:rsidRDefault="00140C61" w:rsidP="00140C61">
      <w:pPr>
        <w:pStyle w:val="ListParagraph"/>
        <w:numPr>
          <w:ilvl w:val="0"/>
          <w:numId w:val="4"/>
        </w:numPr>
        <w:tabs>
          <w:tab w:val="left" w:pos="384"/>
        </w:tabs>
        <w:ind w:left="360" w:right="117" w:hanging="180"/>
        <w:rPr>
          <w:sz w:val="18"/>
        </w:rPr>
      </w:pPr>
      <w:r w:rsidRPr="00140C61">
        <w:rPr>
          <w:sz w:val="18"/>
        </w:rPr>
        <w:t xml:space="preserve">Becker AJ, McCulloch EA, Till JE (1963). "Cytological demonstration of the clonal nature of spleen colonies derived from transplanted mouse marrow cells". Nature 197 (4866): 452–4. </w:t>
      </w:r>
    </w:p>
    <w:p w:rsidR="00140C61" w:rsidRPr="00140C61" w:rsidRDefault="00140C61" w:rsidP="00140C61">
      <w:pPr>
        <w:pStyle w:val="ListParagraph"/>
        <w:numPr>
          <w:ilvl w:val="0"/>
          <w:numId w:val="4"/>
        </w:numPr>
        <w:tabs>
          <w:tab w:val="left" w:pos="384"/>
        </w:tabs>
        <w:ind w:left="360" w:right="117" w:hanging="180"/>
        <w:rPr>
          <w:sz w:val="18"/>
        </w:rPr>
      </w:pPr>
      <w:r w:rsidRPr="00140C61">
        <w:rPr>
          <w:sz w:val="18"/>
        </w:rPr>
        <w:t xml:space="preserve">Bigger BW, Wynn RF. Novel Approaches and Mechanisms in Hematopoietic Stem Cell Gene Therapy </w:t>
      </w:r>
      <w:proofErr w:type="spellStart"/>
      <w:r w:rsidRPr="00140C61">
        <w:rPr>
          <w:sz w:val="18"/>
        </w:rPr>
        <w:t>Discov</w:t>
      </w:r>
      <w:proofErr w:type="spellEnd"/>
      <w:r w:rsidRPr="00140C61">
        <w:rPr>
          <w:sz w:val="18"/>
        </w:rPr>
        <w:t xml:space="preserve"> Med 17(94):207-215, April 2014.</w:t>
      </w:r>
    </w:p>
    <w:p w:rsidR="00140C61" w:rsidRPr="00140C61" w:rsidRDefault="00140C61" w:rsidP="00140C61">
      <w:pPr>
        <w:pStyle w:val="ListParagraph"/>
        <w:numPr>
          <w:ilvl w:val="0"/>
          <w:numId w:val="4"/>
        </w:numPr>
        <w:tabs>
          <w:tab w:val="left" w:pos="384"/>
        </w:tabs>
        <w:ind w:left="360" w:right="117" w:hanging="180"/>
        <w:rPr>
          <w:sz w:val="18"/>
        </w:rPr>
      </w:pPr>
      <w:proofErr w:type="spellStart"/>
      <w:r w:rsidRPr="00140C61">
        <w:rPr>
          <w:sz w:val="18"/>
        </w:rPr>
        <w:t>Cavazzana-Calvo</w:t>
      </w:r>
      <w:proofErr w:type="spellEnd"/>
      <w:r w:rsidRPr="00140C61">
        <w:rPr>
          <w:sz w:val="18"/>
        </w:rPr>
        <w:t xml:space="preserve"> M, </w:t>
      </w:r>
      <w:proofErr w:type="spellStart"/>
      <w:r w:rsidRPr="00140C61">
        <w:rPr>
          <w:sz w:val="18"/>
        </w:rPr>
        <w:t>Hacein-Bey</w:t>
      </w:r>
      <w:proofErr w:type="spellEnd"/>
      <w:r w:rsidRPr="00140C61">
        <w:rPr>
          <w:sz w:val="18"/>
        </w:rPr>
        <w:t xml:space="preserve"> S, de Saint </w:t>
      </w:r>
      <w:proofErr w:type="spellStart"/>
      <w:r w:rsidRPr="00140C61">
        <w:rPr>
          <w:sz w:val="18"/>
        </w:rPr>
        <w:t>Basile</w:t>
      </w:r>
      <w:proofErr w:type="spellEnd"/>
      <w:r w:rsidRPr="00140C61">
        <w:rPr>
          <w:sz w:val="18"/>
        </w:rPr>
        <w:t xml:space="preserve"> G, Gross F, </w:t>
      </w:r>
      <w:proofErr w:type="spellStart"/>
      <w:r w:rsidRPr="00140C61">
        <w:rPr>
          <w:sz w:val="18"/>
        </w:rPr>
        <w:t>Yvon</w:t>
      </w:r>
      <w:proofErr w:type="spellEnd"/>
      <w:r w:rsidRPr="00140C61">
        <w:rPr>
          <w:sz w:val="18"/>
        </w:rPr>
        <w:t xml:space="preserve"> E, et al. (2000) Gene therapy of human severe combined immunodeficiency (SCID)-X1 disease. Science 288: 669-672.</w:t>
      </w:r>
    </w:p>
    <w:p w:rsidR="00140C61" w:rsidRPr="00140C61" w:rsidRDefault="00140C61" w:rsidP="00140C61">
      <w:pPr>
        <w:pStyle w:val="ListParagraph"/>
        <w:numPr>
          <w:ilvl w:val="0"/>
          <w:numId w:val="4"/>
        </w:numPr>
        <w:tabs>
          <w:tab w:val="left" w:pos="384"/>
        </w:tabs>
        <w:ind w:left="360" w:right="117" w:hanging="180"/>
        <w:rPr>
          <w:sz w:val="18"/>
        </w:rPr>
      </w:pPr>
      <w:proofErr w:type="spellStart"/>
      <w:r w:rsidRPr="00140C61">
        <w:rPr>
          <w:sz w:val="18"/>
        </w:rPr>
        <w:t>Cavazzana-Calvo</w:t>
      </w:r>
      <w:proofErr w:type="spellEnd"/>
      <w:r w:rsidRPr="00140C61">
        <w:rPr>
          <w:sz w:val="18"/>
        </w:rPr>
        <w:t xml:space="preserve"> M, </w:t>
      </w:r>
      <w:proofErr w:type="spellStart"/>
      <w:r w:rsidRPr="00140C61">
        <w:rPr>
          <w:sz w:val="18"/>
        </w:rPr>
        <w:t>Payen</w:t>
      </w:r>
      <w:proofErr w:type="spellEnd"/>
      <w:r w:rsidRPr="00140C61">
        <w:rPr>
          <w:sz w:val="18"/>
        </w:rPr>
        <w:t xml:space="preserve"> E, </w:t>
      </w:r>
      <w:proofErr w:type="spellStart"/>
      <w:r w:rsidRPr="00140C61">
        <w:rPr>
          <w:sz w:val="18"/>
        </w:rPr>
        <w:t>Negre</w:t>
      </w:r>
      <w:proofErr w:type="spellEnd"/>
      <w:r w:rsidRPr="00140C61">
        <w:rPr>
          <w:sz w:val="18"/>
        </w:rPr>
        <w:t xml:space="preserve"> O, Wang G, Hehir K, Fusil F, Down J, </w:t>
      </w:r>
      <w:proofErr w:type="spellStart"/>
      <w:r w:rsidRPr="00140C61">
        <w:rPr>
          <w:sz w:val="18"/>
        </w:rPr>
        <w:t>Denaro</w:t>
      </w:r>
      <w:proofErr w:type="spellEnd"/>
      <w:r w:rsidRPr="00140C61">
        <w:rPr>
          <w:sz w:val="18"/>
        </w:rPr>
        <w:t xml:space="preserve"> M, Brady T, </w:t>
      </w:r>
      <w:proofErr w:type="spellStart"/>
      <w:r w:rsidRPr="00140C61">
        <w:rPr>
          <w:sz w:val="18"/>
        </w:rPr>
        <w:t>Westerman</w:t>
      </w:r>
      <w:proofErr w:type="spellEnd"/>
      <w:r w:rsidRPr="00140C61">
        <w:rPr>
          <w:sz w:val="18"/>
        </w:rPr>
        <w:t xml:space="preserve"> K, et al. 2010. Transfusion independence and HMGA2 activation after gene therapy of human b-thalassemia. Nature 467: 318–322</w:t>
      </w:r>
    </w:p>
    <w:p w:rsidR="00AE3E37" w:rsidRPr="008756E6" w:rsidRDefault="00140C61" w:rsidP="00140C61">
      <w:pPr>
        <w:pStyle w:val="ListParagraph"/>
        <w:numPr>
          <w:ilvl w:val="0"/>
          <w:numId w:val="4"/>
        </w:numPr>
        <w:tabs>
          <w:tab w:val="left" w:pos="384"/>
        </w:tabs>
        <w:ind w:left="360" w:right="117" w:hanging="180"/>
      </w:pPr>
      <w:r w:rsidRPr="00140C61">
        <w:rPr>
          <w:sz w:val="18"/>
        </w:rPr>
        <w:t xml:space="preserve">Gaspar HB, Parsley KL, Howe S, King D, Gilmour KC, et al. (2004) Gene therapy of X-linked severe combined immunodeficiency by use of a </w:t>
      </w:r>
      <w:proofErr w:type="spellStart"/>
      <w:r w:rsidRPr="00140C61">
        <w:rPr>
          <w:sz w:val="18"/>
        </w:rPr>
        <w:t>pseudotyped</w:t>
      </w:r>
      <w:proofErr w:type="spellEnd"/>
      <w:r w:rsidRPr="00140C61">
        <w:rPr>
          <w:sz w:val="18"/>
        </w:rPr>
        <w:t xml:space="preserve"> </w:t>
      </w:r>
      <w:proofErr w:type="spellStart"/>
      <w:r w:rsidRPr="00140C61">
        <w:rPr>
          <w:sz w:val="18"/>
        </w:rPr>
        <w:t>gammaretroviral</w:t>
      </w:r>
      <w:proofErr w:type="spellEnd"/>
      <w:r w:rsidRPr="00140C61">
        <w:rPr>
          <w:sz w:val="18"/>
        </w:rPr>
        <w:t xml:space="preserve"> vector. Lancet 364: 2181-2187.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9745C">
        <w:rPr>
          <w:noProof/>
        </w:rPr>
        <w:drawing>
          <wp:inline distT="0" distB="0" distL="0" distR="0" wp14:anchorId="738A9083" wp14:editId="25D6F52B">
            <wp:extent cx="965606" cy="972645"/>
            <wp:effectExtent l="0" t="0" r="6350" b="0"/>
            <wp:docPr id="1" name="Picture 1" descr="Dina Ghora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na Ghorab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063" cy="97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</w:t>
      </w:r>
      <w:bookmarkStart w:id="0" w:name="_GoBack"/>
      <w:bookmarkEnd w:id="0"/>
      <w:r w:rsidR="00A9710C">
        <w:rPr>
          <w:rFonts w:ascii="Arial"/>
          <w:color w:val="BF5A14"/>
        </w:rPr>
        <w:t>y</w:t>
      </w:r>
      <w:r w:rsidR="00404E5B">
        <w:rPr>
          <w:rFonts w:ascii="Arial"/>
          <w:color w:val="BF5A14"/>
        </w:rPr>
        <w:t xml:space="preserve"> (150 word limit)</w:t>
      </w:r>
    </w:p>
    <w:p w:rsidR="00140C61" w:rsidRPr="00140C61" w:rsidRDefault="00140C61" w:rsidP="00140C61">
      <w:pPr>
        <w:jc w:val="both"/>
        <w:rPr>
          <w:rFonts w:ascii="Arial"/>
          <w:sz w:val="14"/>
        </w:rPr>
      </w:pPr>
      <w:r w:rsidRPr="00140C61">
        <w:rPr>
          <w:rFonts w:ascii="Arial"/>
          <w:sz w:val="14"/>
        </w:rPr>
        <w:t xml:space="preserve">Dina A. </w:t>
      </w:r>
      <w:proofErr w:type="spellStart"/>
      <w:r w:rsidRPr="00140C61">
        <w:rPr>
          <w:rFonts w:ascii="Arial"/>
          <w:sz w:val="14"/>
        </w:rPr>
        <w:t>Ghroaba</w:t>
      </w:r>
      <w:proofErr w:type="spellEnd"/>
      <w:r w:rsidRPr="00140C61">
        <w:rPr>
          <w:rFonts w:ascii="Arial"/>
          <w:sz w:val="14"/>
        </w:rPr>
        <w:t xml:space="preserve"> is a Clinician Genetic and Genomic Physician Scientist and an internationally esteemed author who has been serving as an editorial board member of repute journals. She had completed her M.Sc. in Biochemistry- Molecular Diagnosis of Genetic Diseases from the Faculty of Science- Ain Shams University and is currently pursuing Medicine as well as PhD studies. Her researches aim to serve Diagnostic Genetics and Gene-Based Therapeutics.</w:t>
      </w:r>
    </w:p>
    <w:p w:rsidR="00140C61" w:rsidRDefault="00A9710C" w:rsidP="00140C6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140C61" w:rsidRPr="00A560E8">
          <w:rPr>
            <w:rStyle w:val="Hyperlink"/>
            <w:rFonts w:ascii="Arial"/>
            <w:sz w:val="14"/>
          </w:rPr>
          <w:t>dina-gh@hotmail.com</w:t>
        </w:r>
      </w:hyperlink>
      <w:r w:rsidR="00140C61">
        <w:rPr>
          <w:rFonts w:ascii="Arial"/>
          <w:sz w:val="14"/>
        </w:rPr>
        <w:t xml:space="preserve">; </w:t>
      </w:r>
      <w:hyperlink r:id="rId12" w:history="1">
        <w:r w:rsidR="00140C61" w:rsidRPr="00A560E8">
          <w:rPr>
            <w:rStyle w:val="Hyperlink"/>
            <w:rFonts w:ascii="Arial"/>
            <w:sz w:val="14"/>
          </w:rPr>
          <w:t>Dina.ghoraba@gmail.com</w:t>
        </w:r>
      </w:hyperlink>
      <w:r w:rsidR="00140C61">
        <w:rPr>
          <w:rFonts w:ascii="Arial"/>
          <w:sz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A68" w:rsidRDefault="00691A68">
      <w:r>
        <w:separator/>
      </w:r>
    </w:p>
  </w:endnote>
  <w:endnote w:type="continuationSeparator" w:id="0">
    <w:p w:rsidR="00691A68" w:rsidRDefault="0069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A68" w:rsidRDefault="00691A68">
      <w:r>
        <w:separator/>
      </w:r>
    </w:p>
  </w:footnote>
  <w:footnote w:type="continuationSeparator" w:id="0">
    <w:p w:rsidR="00691A68" w:rsidRDefault="00691A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39EB"/>
    <w:multiLevelType w:val="hybridMultilevel"/>
    <w:tmpl w:val="77182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B0ACD"/>
    <w:rsid w:val="000E2911"/>
    <w:rsid w:val="001263DF"/>
    <w:rsid w:val="00140C61"/>
    <w:rsid w:val="00292ED9"/>
    <w:rsid w:val="002D245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1A68"/>
    <w:rsid w:val="0085035B"/>
    <w:rsid w:val="00873DF0"/>
    <w:rsid w:val="008756E6"/>
    <w:rsid w:val="0089745C"/>
    <w:rsid w:val="009B2D44"/>
    <w:rsid w:val="00A07E82"/>
    <w:rsid w:val="00A9710C"/>
    <w:rsid w:val="00AE3E37"/>
    <w:rsid w:val="00B21A57"/>
    <w:rsid w:val="00C33602"/>
    <w:rsid w:val="00CD6F55"/>
    <w:rsid w:val="00D40C18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ina.ghorab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ina-gh@hot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Maha Zimaity</cp:lastModifiedBy>
  <cp:revision>8</cp:revision>
  <dcterms:created xsi:type="dcterms:W3CDTF">2016-08-31T10:27:00Z</dcterms:created>
  <dcterms:modified xsi:type="dcterms:W3CDTF">2017-11-19T20:13:00Z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