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761"/>
      </w:tblGrid>
      <w:tr w:rsidR="00A86664" w:rsidTr="00567D81">
        <w:trPr>
          <w:jc w:val="center"/>
        </w:trPr>
        <w:tc>
          <w:tcPr>
            <w:tcW w:w="9854" w:type="dxa"/>
            <w:gridSpan w:val="2"/>
          </w:tcPr>
          <w:p w:rsidR="00A86664" w:rsidRDefault="00A86664" w:rsidP="00A86664">
            <w:pPr>
              <w:autoSpaceDE w:val="0"/>
              <w:autoSpaceDN w:val="0"/>
              <w:bidi w:val="0"/>
              <w:adjustRightInd w:val="0"/>
              <w:jc w:val="right"/>
              <w:rPr>
                <w:rtl/>
                <w:lang w:val="en-NZ" w:bidi="ar-EG"/>
              </w:rPr>
            </w:pPr>
            <w:bookmarkStart w:id="0" w:name="_GoBack"/>
            <w:r>
              <w:rPr>
                <w:noProof/>
              </w:rPr>
              <w:drawing>
                <wp:inline distT="0" distB="0" distL="0" distR="0" wp14:anchorId="5541EBD8" wp14:editId="5D01AF0F">
                  <wp:extent cx="1180102" cy="1497724"/>
                  <wp:effectExtent l="0" t="0" r="1270" b="7620"/>
                  <wp:docPr id="1" name="Picture 1" descr="D:\eman\Eman Toreih files\eman phot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eman\Eman Toreih files\eman phot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449" cy="1499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A86664" w:rsidRDefault="00A86664" w:rsidP="00A86664">
            <w:pPr>
              <w:autoSpaceDE w:val="0"/>
              <w:autoSpaceDN w:val="0"/>
              <w:bidi w:val="0"/>
              <w:adjustRightInd w:val="0"/>
              <w:rPr>
                <w:lang w:val="en-NZ" w:bidi="ar-EG"/>
              </w:rPr>
            </w:pPr>
          </w:p>
        </w:tc>
      </w:tr>
      <w:tr w:rsidR="00A86664" w:rsidRPr="002A0015" w:rsidTr="00567D81">
        <w:trPr>
          <w:jc w:val="center"/>
        </w:trPr>
        <w:tc>
          <w:tcPr>
            <w:tcW w:w="9854" w:type="dxa"/>
            <w:gridSpan w:val="2"/>
          </w:tcPr>
          <w:p w:rsidR="00A86664" w:rsidRDefault="00E52FAB" w:rsidP="00A86664">
            <w:pPr>
              <w:bidi w:val="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E52FAB">
              <w:rPr>
                <w:b/>
                <w:bCs/>
                <w:sz w:val="28"/>
                <w:szCs w:val="28"/>
              </w:rPr>
              <w:t>Stemness</w:t>
            </w:r>
            <w:proofErr w:type="spellEnd"/>
            <w:r w:rsidRPr="00E52FAB">
              <w:rPr>
                <w:b/>
                <w:bCs/>
                <w:sz w:val="28"/>
                <w:szCs w:val="28"/>
              </w:rPr>
              <w:t>-related transcriptional factors and homing gene expression profiles in hepatic differentiation and cancer</w:t>
            </w:r>
          </w:p>
          <w:p w:rsidR="00E52FAB" w:rsidRDefault="00E52FAB" w:rsidP="00E52FAB">
            <w:pPr>
              <w:bidi w:val="0"/>
              <w:jc w:val="center"/>
            </w:pPr>
          </w:p>
          <w:p w:rsidR="00A86664" w:rsidRPr="00EA5BFC" w:rsidRDefault="00E52FAB" w:rsidP="00E52FAB">
            <w:pPr>
              <w:bidi w:val="0"/>
              <w:jc w:val="center"/>
            </w:pPr>
            <w:proofErr w:type="spellStart"/>
            <w:r w:rsidRPr="00E52FAB">
              <w:rPr>
                <w:u w:val="single"/>
              </w:rPr>
              <w:t>Eman</w:t>
            </w:r>
            <w:proofErr w:type="spellEnd"/>
            <w:r w:rsidRPr="00E52FAB">
              <w:rPr>
                <w:u w:val="single"/>
              </w:rPr>
              <w:t xml:space="preserve"> </w:t>
            </w:r>
            <w:proofErr w:type="spellStart"/>
            <w:r w:rsidRPr="00E52FAB">
              <w:rPr>
                <w:u w:val="single"/>
              </w:rPr>
              <w:t>AToraih</w:t>
            </w:r>
            <w:proofErr w:type="spellEnd"/>
            <w:r w:rsidRPr="00E52FAB">
              <w:t xml:space="preserve">*, Manal S Fawzy, </w:t>
            </w:r>
            <w:r>
              <w:t>Mohammad H Hussein</w:t>
            </w:r>
          </w:p>
          <w:p w:rsidR="00A86664" w:rsidRDefault="00E52FAB" w:rsidP="00A86664">
            <w:pPr>
              <w:bidi w:val="0"/>
              <w:jc w:val="center"/>
              <w:rPr>
                <w:lang w:bidi="ar-EG"/>
              </w:rPr>
            </w:pPr>
            <w:r>
              <w:rPr>
                <w:lang w:bidi="ar-EG"/>
              </w:rPr>
              <w:t>*</w:t>
            </w:r>
            <w:r w:rsidR="00A86664" w:rsidRPr="00EA5BFC">
              <w:rPr>
                <w:lang w:bidi="ar-EG"/>
              </w:rPr>
              <w:t>Genetics</w:t>
            </w:r>
            <w:r w:rsidR="00A86664">
              <w:rPr>
                <w:lang w:bidi="ar-EG"/>
              </w:rPr>
              <w:t xml:space="preserve"> Unit</w:t>
            </w:r>
            <w:r w:rsidR="00A86664" w:rsidRPr="00EA5BFC">
              <w:rPr>
                <w:lang w:bidi="ar-EG"/>
              </w:rPr>
              <w:t>, Faculty of Medicine, Suez Canal University, Egypt</w:t>
            </w:r>
          </w:p>
          <w:p w:rsidR="00A86664" w:rsidRPr="002A0015" w:rsidRDefault="00A86664" w:rsidP="00A86664">
            <w:pPr>
              <w:bidi w:val="0"/>
              <w:jc w:val="center"/>
              <w:rPr>
                <w:lang w:val="it-IT" w:bidi="ar-EG"/>
              </w:rPr>
            </w:pPr>
          </w:p>
        </w:tc>
      </w:tr>
      <w:tr w:rsidR="00A86664" w:rsidTr="00567D81">
        <w:trPr>
          <w:jc w:val="center"/>
        </w:trPr>
        <w:tc>
          <w:tcPr>
            <w:tcW w:w="9854" w:type="dxa"/>
            <w:gridSpan w:val="2"/>
          </w:tcPr>
          <w:p w:rsidR="00E52FAB" w:rsidRPr="00E52FAB" w:rsidRDefault="00E52FAB" w:rsidP="00E52FAB">
            <w:pPr>
              <w:bidi w:val="0"/>
              <w:jc w:val="both"/>
            </w:pPr>
            <w:r w:rsidRPr="00E52FAB">
              <w:t xml:space="preserve">Stem cell transcriptional signature activation is an essential event in the development of cancer. This study aimed to </w:t>
            </w:r>
            <w:r w:rsidRPr="00E52FAB">
              <w:rPr>
                <w:lang w:val="en-GB"/>
              </w:rPr>
              <w:t>investigate</w:t>
            </w:r>
            <w:r w:rsidRPr="00E52FAB">
              <w:t xml:space="preserve"> the differential expression profile of three </w:t>
            </w:r>
            <w:proofErr w:type="spellStart"/>
            <w:r w:rsidRPr="00E52FAB">
              <w:t>pluripotency</w:t>
            </w:r>
            <w:proofErr w:type="spellEnd"/>
            <w:r w:rsidRPr="00E52FAB">
              <w:t>-associated genes (</w:t>
            </w:r>
            <w:r w:rsidRPr="00E52FAB">
              <w:rPr>
                <w:i/>
                <w:iCs/>
              </w:rPr>
              <w:t>OCT4</w:t>
            </w:r>
            <w:r w:rsidRPr="00E52FAB">
              <w:t xml:space="preserve">, </w:t>
            </w:r>
            <w:r w:rsidRPr="00E52FAB">
              <w:rPr>
                <w:i/>
                <w:iCs/>
              </w:rPr>
              <w:t>NANOG</w:t>
            </w:r>
            <w:r w:rsidRPr="00E52FAB">
              <w:t xml:space="preserve">, and </w:t>
            </w:r>
            <w:r w:rsidRPr="00E52FAB">
              <w:rPr>
                <w:i/>
                <w:iCs/>
              </w:rPr>
              <w:t>SOX2</w:t>
            </w:r>
            <w:r w:rsidRPr="00E52FAB">
              <w:t>), G-protein-coupled chemokine receptor 4 (</w:t>
            </w:r>
            <w:r w:rsidRPr="00E52FAB">
              <w:rPr>
                <w:i/>
                <w:iCs/>
              </w:rPr>
              <w:t>CXCR4</w:t>
            </w:r>
            <w:r w:rsidRPr="00E52FAB">
              <w:t>) and the ligand (</w:t>
            </w:r>
            <w:r w:rsidRPr="00E52FAB">
              <w:rPr>
                <w:i/>
                <w:iCs/>
              </w:rPr>
              <w:t>CXCL2</w:t>
            </w:r>
            <w:r w:rsidRPr="00E52FAB">
              <w:t xml:space="preserve">), and alpha </w:t>
            </w:r>
            <w:proofErr w:type="spellStart"/>
            <w:r w:rsidRPr="00E52FAB">
              <w:t>feto</w:t>
            </w:r>
            <w:proofErr w:type="spellEnd"/>
            <w:r w:rsidRPr="00E52FAB">
              <w:t>-protein (</w:t>
            </w:r>
            <w:r w:rsidRPr="00E52FAB">
              <w:rPr>
                <w:i/>
                <w:iCs/>
              </w:rPr>
              <w:t>AFP</w:t>
            </w:r>
            <w:r w:rsidRPr="00E52FAB">
              <w:t xml:space="preserve">) in </w:t>
            </w:r>
            <w:proofErr w:type="spellStart"/>
            <w:r w:rsidRPr="00E52FAB">
              <w:t>hepatogenic</w:t>
            </w:r>
            <w:proofErr w:type="spellEnd"/>
            <w:r w:rsidRPr="00E52FAB">
              <w:t xml:space="preserve"> differentiated stem cells and in sera of hepatitis C virus (HCV) and hepatocellular carcinoma (HCC) on top of HCV patients.</w:t>
            </w:r>
            <w:r w:rsidRPr="00E52FAB">
              <w:rPr>
                <w:rtl/>
              </w:rPr>
              <w:t xml:space="preserve"> </w:t>
            </w:r>
            <w:proofErr w:type="spellStart"/>
            <w:r w:rsidRPr="00E52FAB">
              <w:t>Mesenchymal</w:t>
            </w:r>
            <w:proofErr w:type="spellEnd"/>
            <w:r w:rsidRPr="00E52FAB">
              <w:t xml:space="preserve"> stem cells derived from umbilical cord blood were differentiated using </w:t>
            </w:r>
            <w:proofErr w:type="spellStart"/>
            <w:r w:rsidRPr="00E52FAB">
              <w:t>hepatogenic</w:t>
            </w:r>
            <w:proofErr w:type="spellEnd"/>
            <w:r w:rsidRPr="00E52FAB">
              <w:t xml:space="preserve"> differentiation media. Serum specimens were collected from 96 patients (32 cirrhotic HCV, 32 early HCC, and 32 late HCC) and 96 controls. Real-time quantitative reverse transcription polymerase chain reaction was performed for relative quantification of the 6 target genes using LIVAC method</w:t>
            </w:r>
            <w:r w:rsidRPr="00E52FAB">
              <w:rPr>
                <w:i/>
                <w:iCs/>
              </w:rPr>
              <w:t xml:space="preserve">. In </w:t>
            </w:r>
            <w:proofErr w:type="spellStart"/>
            <w:r w:rsidRPr="00E52FAB">
              <w:rPr>
                <w:i/>
                <w:iCs/>
              </w:rPr>
              <w:t>silico</w:t>
            </w:r>
            <w:proofErr w:type="spellEnd"/>
            <w:r w:rsidRPr="00E52FAB">
              <w:t xml:space="preserve"> network analysis was also executed to explore the </w:t>
            </w:r>
            <w:proofErr w:type="spellStart"/>
            <w:r w:rsidRPr="00E52FAB">
              <w:t>pluripotency</w:t>
            </w:r>
            <w:proofErr w:type="spellEnd"/>
            <w:r w:rsidRPr="00E52FAB">
              <w:t xml:space="preserve"> and tumorigenic regulatory circuits in liver cancer</w:t>
            </w:r>
            <w:r w:rsidRPr="00E52FAB">
              <w:rPr>
                <w:rtl/>
              </w:rPr>
              <w:t xml:space="preserve">. </w:t>
            </w:r>
            <w:r w:rsidRPr="00E52FAB">
              <w:t xml:space="preserve">The expression levels of all genes declined gradually during the stages of stem cell differentiation. </w:t>
            </w:r>
            <w:proofErr w:type="spellStart"/>
            <w:r w:rsidRPr="00E52FAB">
              <w:rPr>
                <w:i/>
                <w:iCs/>
              </w:rPr>
              <w:t>Nanog</w:t>
            </w:r>
            <w:proofErr w:type="spellEnd"/>
            <w:r w:rsidRPr="00E52FAB">
              <w:rPr>
                <w:i/>
                <w:iCs/>
              </w:rPr>
              <w:t xml:space="preserve"> </w:t>
            </w:r>
            <w:r w:rsidRPr="00E52FAB">
              <w:t xml:space="preserve">and </w:t>
            </w:r>
            <w:r w:rsidRPr="00E52FAB">
              <w:rPr>
                <w:i/>
                <w:iCs/>
              </w:rPr>
              <w:t>CXCR4</w:t>
            </w:r>
            <w:r w:rsidRPr="00E52FAB">
              <w:t xml:space="preserve"> were significantly up-regulated in HCC patients with late clinical stage. In contrast, expression of </w:t>
            </w:r>
            <w:r w:rsidRPr="00E52FAB">
              <w:rPr>
                <w:i/>
                <w:iCs/>
              </w:rPr>
              <w:t xml:space="preserve">SOX2 </w:t>
            </w:r>
            <w:r w:rsidRPr="00E52FAB">
              <w:t xml:space="preserve">and </w:t>
            </w:r>
            <w:r w:rsidRPr="00E52FAB">
              <w:rPr>
                <w:i/>
                <w:iCs/>
              </w:rPr>
              <w:t>CXCL2</w:t>
            </w:r>
            <w:r w:rsidRPr="00E52FAB">
              <w:t xml:space="preserve"> were markedly over-expressed in cirrhotic patients. In conclusion, our data highlight the important role of </w:t>
            </w:r>
            <w:r w:rsidRPr="00E52FAB">
              <w:rPr>
                <w:i/>
                <w:iCs/>
              </w:rPr>
              <w:t>SOX2</w:t>
            </w:r>
            <w:r w:rsidRPr="00E52FAB">
              <w:t xml:space="preserve"> stem cell marker and </w:t>
            </w:r>
            <w:r w:rsidRPr="00E52FAB">
              <w:rPr>
                <w:i/>
                <w:iCs/>
              </w:rPr>
              <w:t>CXCL2</w:t>
            </w:r>
            <w:r w:rsidRPr="00E52FAB">
              <w:t xml:space="preserve"> chemokine in liver cell degeneration and </w:t>
            </w:r>
            <w:proofErr w:type="spellStart"/>
            <w:r w:rsidRPr="00E52FAB">
              <w:t>fibrogenesis</w:t>
            </w:r>
            <w:proofErr w:type="spellEnd"/>
            <w:r w:rsidRPr="00E52FAB">
              <w:t xml:space="preserve"> in HCV-induced hepatic cirrhosis in our population. In addition, </w:t>
            </w:r>
            <w:proofErr w:type="spellStart"/>
            <w:r w:rsidRPr="00E52FAB">
              <w:t>transcriptomic</w:t>
            </w:r>
            <w:proofErr w:type="spellEnd"/>
            <w:r w:rsidRPr="00E52FAB">
              <w:t xml:space="preserve"> re-activation of </w:t>
            </w:r>
            <w:proofErr w:type="spellStart"/>
            <w:r w:rsidRPr="00E52FAB">
              <w:t>pluripotency</w:t>
            </w:r>
            <w:proofErr w:type="spellEnd"/>
            <w:r w:rsidRPr="00E52FAB">
              <w:t>-associated genes in adult somatic cells may lead to the acquisition of stem cell-like properties in hepatic cancer. Taken together, our results could have a potential application in HCC prognosis and treatment.</w:t>
            </w:r>
          </w:p>
          <w:p w:rsidR="00A86664" w:rsidRDefault="00A86664" w:rsidP="00A86664">
            <w:pPr>
              <w:bidi w:val="0"/>
              <w:jc w:val="both"/>
            </w:pPr>
            <w:r w:rsidRPr="00E52FAB">
              <w:t>.</w:t>
            </w:r>
            <w:r>
              <w:t xml:space="preserve"> </w:t>
            </w:r>
          </w:p>
          <w:p w:rsidR="00A86664" w:rsidRPr="00A86664" w:rsidRDefault="00A86664" w:rsidP="00A86664">
            <w:pPr>
              <w:autoSpaceDE w:val="0"/>
              <w:autoSpaceDN w:val="0"/>
              <w:bidi w:val="0"/>
              <w:adjustRightInd w:val="0"/>
              <w:jc w:val="both"/>
            </w:pPr>
          </w:p>
        </w:tc>
      </w:tr>
      <w:tr w:rsidR="00A86664" w:rsidRPr="002A0015" w:rsidTr="00567D81">
        <w:trPr>
          <w:jc w:val="center"/>
        </w:trPr>
        <w:tc>
          <w:tcPr>
            <w:tcW w:w="9854" w:type="dxa"/>
            <w:gridSpan w:val="2"/>
          </w:tcPr>
          <w:p w:rsidR="00A86664" w:rsidRDefault="00A86664" w:rsidP="00567D81">
            <w:pPr>
              <w:bidi w:val="0"/>
              <w:rPr>
                <w:b/>
                <w:bCs/>
                <w:lang w:val="en-GB"/>
              </w:rPr>
            </w:pPr>
            <w:r w:rsidRPr="00465AF3">
              <w:rPr>
                <w:b/>
                <w:bCs/>
                <w:lang w:val="en-GB"/>
              </w:rPr>
              <w:t>Biography</w:t>
            </w:r>
          </w:p>
          <w:p w:rsidR="00A86664" w:rsidRPr="00465AF3" w:rsidRDefault="00A86664" w:rsidP="00567D81">
            <w:pPr>
              <w:bidi w:val="0"/>
              <w:rPr>
                <w:b/>
                <w:bCs/>
                <w:lang w:val="en-GB"/>
              </w:rPr>
            </w:pPr>
          </w:p>
        </w:tc>
      </w:tr>
      <w:tr w:rsidR="00A86664" w:rsidTr="00567D81">
        <w:trPr>
          <w:jc w:val="center"/>
        </w:trPr>
        <w:tc>
          <w:tcPr>
            <w:tcW w:w="9854" w:type="dxa"/>
            <w:gridSpan w:val="2"/>
          </w:tcPr>
          <w:p w:rsidR="00A25E02" w:rsidRPr="00465AF3" w:rsidRDefault="00A25E02" w:rsidP="00A25E02">
            <w:pPr>
              <w:bidi w:val="0"/>
              <w:jc w:val="both"/>
              <w:rPr>
                <w:lang w:val="en-GB"/>
              </w:rPr>
            </w:pPr>
            <w:r w:rsidRPr="00475887">
              <w:rPr>
                <w:lang w:val="en-GB"/>
              </w:rPr>
              <w:t xml:space="preserve">Dr </w:t>
            </w:r>
            <w:proofErr w:type="spellStart"/>
            <w:r w:rsidRPr="00475887">
              <w:rPr>
                <w:lang w:val="en-GB"/>
              </w:rPr>
              <w:t>Eman</w:t>
            </w:r>
            <w:proofErr w:type="spellEnd"/>
            <w:r w:rsidRPr="00475887">
              <w:rPr>
                <w:lang w:val="en-GB"/>
              </w:rPr>
              <w:t xml:space="preserve"> Ali </w:t>
            </w:r>
            <w:proofErr w:type="spellStart"/>
            <w:r w:rsidRPr="00475887">
              <w:rPr>
                <w:lang w:val="en-GB"/>
              </w:rPr>
              <w:t>Toraih</w:t>
            </w:r>
            <w:proofErr w:type="spellEnd"/>
            <w:r w:rsidRPr="00475887">
              <w:rPr>
                <w:lang w:val="en-GB"/>
              </w:rPr>
              <w:t xml:space="preserve"> Medical geneticist, M.D., Ph.D. She is a member of the Medical Genetics Unit and Genetic </w:t>
            </w:r>
            <w:proofErr w:type="spellStart"/>
            <w:r w:rsidRPr="00475887">
              <w:rPr>
                <w:lang w:val="en-GB"/>
              </w:rPr>
              <w:t>Counseling</w:t>
            </w:r>
            <w:proofErr w:type="spellEnd"/>
            <w:r w:rsidRPr="00475887">
              <w:rPr>
                <w:lang w:val="en-GB"/>
              </w:rPr>
              <w:t xml:space="preserve"> Clinic, Faculty of Medicine, Suez Canal University, Egypt.</w:t>
            </w:r>
            <w:r w:rsidRPr="00465AF3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She has publications in </w:t>
            </w:r>
            <w:proofErr w:type="spellStart"/>
            <w:r>
              <w:rPr>
                <w:lang w:val="en-GB"/>
              </w:rPr>
              <w:t>transcriptomics</w:t>
            </w:r>
            <w:proofErr w:type="spellEnd"/>
            <w:r>
              <w:rPr>
                <w:lang w:val="en-GB"/>
              </w:rPr>
              <w:t xml:space="preserve"> and pharmacogenomics.</w:t>
            </w:r>
          </w:p>
          <w:p w:rsidR="00A86664" w:rsidRPr="00465AF3" w:rsidRDefault="00A86664" w:rsidP="00567D81">
            <w:pPr>
              <w:bidi w:val="0"/>
              <w:rPr>
                <w:lang w:val="en-GB" w:bidi="ar-EG"/>
              </w:rPr>
            </w:pPr>
          </w:p>
        </w:tc>
      </w:tr>
      <w:tr w:rsidR="00A86664" w:rsidRPr="002A0015" w:rsidTr="00567D81">
        <w:trPr>
          <w:jc w:val="center"/>
        </w:trPr>
        <w:tc>
          <w:tcPr>
            <w:tcW w:w="9854" w:type="dxa"/>
            <w:gridSpan w:val="2"/>
          </w:tcPr>
          <w:p w:rsidR="00A86664" w:rsidRDefault="00A86664" w:rsidP="00567D81">
            <w:pPr>
              <w:bidi w:val="0"/>
              <w:rPr>
                <w:b/>
                <w:bCs/>
                <w:lang w:val="en-GB"/>
              </w:rPr>
            </w:pPr>
            <w:r w:rsidRPr="00465AF3">
              <w:rPr>
                <w:b/>
                <w:bCs/>
                <w:lang w:val="en-GB"/>
              </w:rPr>
              <w:t xml:space="preserve">Presenting author details </w:t>
            </w:r>
          </w:p>
          <w:p w:rsidR="00A86664" w:rsidRPr="00465AF3" w:rsidRDefault="00A86664" w:rsidP="00567D81">
            <w:pPr>
              <w:bidi w:val="0"/>
              <w:rPr>
                <w:b/>
                <w:bCs/>
                <w:lang w:val="en-GB"/>
              </w:rPr>
            </w:pPr>
          </w:p>
        </w:tc>
      </w:tr>
      <w:tr w:rsidR="00A86664" w:rsidRPr="003E3438" w:rsidTr="00567D81">
        <w:trPr>
          <w:jc w:val="center"/>
        </w:trPr>
        <w:tc>
          <w:tcPr>
            <w:tcW w:w="2093" w:type="dxa"/>
          </w:tcPr>
          <w:p w:rsidR="00A86664" w:rsidRPr="00465AF3" w:rsidRDefault="00A86664" w:rsidP="00567D81">
            <w:pPr>
              <w:bidi w:val="0"/>
              <w:rPr>
                <w:lang w:val="en-GB"/>
              </w:rPr>
            </w:pPr>
            <w:r w:rsidRPr="00465AF3">
              <w:rPr>
                <w:lang w:val="en-GB"/>
              </w:rPr>
              <w:t>Full name:</w:t>
            </w:r>
          </w:p>
        </w:tc>
        <w:tc>
          <w:tcPr>
            <w:tcW w:w="7761" w:type="dxa"/>
          </w:tcPr>
          <w:p w:rsidR="00A86664" w:rsidRPr="00465AF3" w:rsidRDefault="00A86664" w:rsidP="00567D81">
            <w:pPr>
              <w:bidi w:val="0"/>
              <w:rPr>
                <w:lang w:val="en-GB"/>
              </w:rPr>
            </w:pPr>
            <w:proofErr w:type="spellStart"/>
            <w:r w:rsidRPr="00465AF3">
              <w:rPr>
                <w:lang w:val="en-GB"/>
              </w:rPr>
              <w:t>Eman</w:t>
            </w:r>
            <w:proofErr w:type="spellEnd"/>
            <w:r w:rsidRPr="00465AF3">
              <w:rPr>
                <w:lang w:val="en-GB"/>
              </w:rPr>
              <w:t xml:space="preserve"> Ali Mohammad </w:t>
            </w:r>
            <w:proofErr w:type="spellStart"/>
            <w:r w:rsidRPr="00465AF3">
              <w:rPr>
                <w:lang w:val="en-GB"/>
              </w:rPr>
              <w:t>Toraih</w:t>
            </w:r>
            <w:proofErr w:type="spellEnd"/>
          </w:p>
        </w:tc>
      </w:tr>
      <w:tr w:rsidR="00A86664" w:rsidRPr="003E3438" w:rsidTr="00567D81">
        <w:trPr>
          <w:jc w:val="center"/>
        </w:trPr>
        <w:tc>
          <w:tcPr>
            <w:tcW w:w="2093" w:type="dxa"/>
          </w:tcPr>
          <w:p w:rsidR="00A86664" w:rsidRPr="00465AF3" w:rsidRDefault="00A86664" w:rsidP="00567D81">
            <w:pPr>
              <w:bidi w:val="0"/>
              <w:rPr>
                <w:lang w:val="en-GB"/>
              </w:rPr>
            </w:pPr>
            <w:r w:rsidRPr="00465AF3">
              <w:rPr>
                <w:lang w:val="en-GB"/>
              </w:rPr>
              <w:t>Contact number:</w:t>
            </w:r>
          </w:p>
        </w:tc>
        <w:tc>
          <w:tcPr>
            <w:tcW w:w="7761" w:type="dxa"/>
          </w:tcPr>
          <w:p w:rsidR="00A86664" w:rsidRPr="00465AF3" w:rsidRDefault="00A86664" w:rsidP="00567D81">
            <w:pPr>
              <w:bidi w:val="0"/>
              <w:rPr>
                <w:lang w:val="en-GB"/>
              </w:rPr>
            </w:pPr>
            <w:r w:rsidRPr="00465AF3">
              <w:rPr>
                <w:lang w:val="en-GB"/>
              </w:rPr>
              <w:t>(+2)01008550681</w:t>
            </w:r>
          </w:p>
        </w:tc>
      </w:tr>
      <w:tr w:rsidR="00A86664" w:rsidRPr="003E3438" w:rsidTr="00567D81">
        <w:trPr>
          <w:jc w:val="center"/>
        </w:trPr>
        <w:tc>
          <w:tcPr>
            <w:tcW w:w="2093" w:type="dxa"/>
          </w:tcPr>
          <w:p w:rsidR="00A86664" w:rsidRPr="00465AF3" w:rsidRDefault="00A86664" w:rsidP="00567D81">
            <w:pPr>
              <w:bidi w:val="0"/>
              <w:rPr>
                <w:lang w:val="en-GB"/>
              </w:rPr>
            </w:pPr>
            <w:r w:rsidRPr="00465AF3">
              <w:rPr>
                <w:lang w:val="en-GB"/>
              </w:rPr>
              <w:t>Facebook account:</w:t>
            </w:r>
          </w:p>
        </w:tc>
        <w:tc>
          <w:tcPr>
            <w:tcW w:w="7761" w:type="dxa"/>
          </w:tcPr>
          <w:p w:rsidR="00A86664" w:rsidRPr="00465AF3" w:rsidRDefault="00A86664" w:rsidP="00567D81">
            <w:pPr>
              <w:bidi w:val="0"/>
              <w:rPr>
                <w:lang w:val="en-GB"/>
              </w:rPr>
            </w:pPr>
            <w:r w:rsidRPr="00465AF3">
              <w:rPr>
                <w:lang w:val="en-GB"/>
              </w:rPr>
              <w:t>emantoraih@gmail.com</w:t>
            </w:r>
          </w:p>
        </w:tc>
      </w:tr>
      <w:tr w:rsidR="00A86664" w:rsidRPr="003E3438" w:rsidTr="00567D81">
        <w:trPr>
          <w:jc w:val="center"/>
        </w:trPr>
        <w:tc>
          <w:tcPr>
            <w:tcW w:w="2093" w:type="dxa"/>
          </w:tcPr>
          <w:p w:rsidR="00A86664" w:rsidRPr="00465AF3" w:rsidRDefault="00A86664" w:rsidP="00567D81">
            <w:pPr>
              <w:bidi w:val="0"/>
              <w:rPr>
                <w:lang w:val="en-GB"/>
              </w:rPr>
            </w:pPr>
            <w:r w:rsidRPr="00465AF3">
              <w:rPr>
                <w:lang w:val="en-GB"/>
              </w:rPr>
              <w:t>Linked In account:</w:t>
            </w:r>
          </w:p>
        </w:tc>
        <w:tc>
          <w:tcPr>
            <w:tcW w:w="7761" w:type="dxa"/>
          </w:tcPr>
          <w:p w:rsidR="00A86664" w:rsidRPr="00465AF3" w:rsidRDefault="00A86664" w:rsidP="00567D81">
            <w:pPr>
              <w:bidi w:val="0"/>
              <w:rPr>
                <w:lang w:val="en-GB"/>
              </w:rPr>
            </w:pPr>
            <w:r w:rsidRPr="00465AF3">
              <w:rPr>
                <w:lang w:val="en-GB"/>
              </w:rPr>
              <w:t>emantoraih@gmail.com</w:t>
            </w:r>
          </w:p>
        </w:tc>
      </w:tr>
      <w:tr w:rsidR="00A86664" w:rsidRPr="002A0015" w:rsidTr="00567D81">
        <w:trPr>
          <w:jc w:val="center"/>
        </w:trPr>
        <w:tc>
          <w:tcPr>
            <w:tcW w:w="2093" w:type="dxa"/>
          </w:tcPr>
          <w:p w:rsidR="00A86664" w:rsidRPr="00465AF3" w:rsidRDefault="00A86664" w:rsidP="00567D81">
            <w:pPr>
              <w:bidi w:val="0"/>
              <w:rPr>
                <w:lang w:val="en-GB"/>
              </w:rPr>
            </w:pPr>
            <w:r w:rsidRPr="00465AF3">
              <w:rPr>
                <w:lang w:val="en-GB"/>
              </w:rPr>
              <w:t>Session name:</w:t>
            </w:r>
          </w:p>
        </w:tc>
        <w:tc>
          <w:tcPr>
            <w:tcW w:w="7761" w:type="dxa"/>
          </w:tcPr>
          <w:p w:rsidR="00A86664" w:rsidRPr="00465AF3" w:rsidRDefault="00E52FAB" w:rsidP="00567D81">
            <w:pPr>
              <w:bidi w:val="0"/>
              <w:rPr>
                <w:lang w:val="en-GB"/>
              </w:rPr>
            </w:pPr>
            <w:r>
              <w:rPr>
                <w:lang w:val="en-GB"/>
              </w:rPr>
              <w:t>Biomedicine</w:t>
            </w:r>
          </w:p>
        </w:tc>
      </w:tr>
      <w:tr w:rsidR="00A86664" w:rsidRPr="002A0015" w:rsidTr="00567D81">
        <w:trPr>
          <w:jc w:val="center"/>
        </w:trPr>
        <w:tc>
          <w:tcPr>
            <w:tcW w:w="2093" w:type="dxa"/>
          </w:tcPr>
          <w:p w:rsidR="00A86664" w:rsidRPr="00465AF3" w:rsidRDefault="00A86664" w:rsidP="00567D81">
            <w:pPr>
              <w:bidi w:val="0"/>
              <w:rPr>
                <w:lang w:val="en-GB"/>
              </w:rPr>
            </w:pPr>
            <w:r w:rsidRPr="00465AF3">
              <w:rPr>
                <w:lang w:val="en-GB"/>
              </w:rPr>
              <w:t>Category:</w:t>
            </w:r>
          </w:p>
        </w:tc>
        <w:tc>
          <w:tcPr>
            <w:tcW w:w="7761" w:type="dxa"/>
          </w:tcPr>
          <w:p w:rsidR="00A86664" w:rsidRPr="00465AF3" w:rsidRDefault="00E52FAB" w:rsidP="00567D81">
            <w:pPr>
              <w:bidi w:val="0"/>
              <w:rPr>
                <w:lang w:val="en-GB"/>
              </w:rPr>
            </w:pPr>
            <w:r>
              <w:rPr>
                <w:lang w:val="en-GB"/>
              </w:rPr>
              <w:t>E-</w:t>
            </w:r>
            <w:r w:rsidR="00A86664" w:rsidRPr="00465AF3">
              <w:rPr>
                <w:lang w:val="en-GB"/>
              </w:rPr>
              <w:t xml:space="preserve">Poster presentation </w:t>
            </w:r>
          </w:p>
        </w:tc>
      </w:tr>
    </w:tbl>
    <w:p w:rsidR="00A86664" w:rsidRDefault="00A86664" w:rsidP="006D7257">
      <w:pPr>
        <w:widowControl w:val="0"/>
        <w:tabs>
          <w:tab w:val="right" w:pos="9781"/>
        </w:tabs>
        <w:autoSpaceDE w:val="0"/>
        <w:autoSpaceDN w:val="0"/>
        <w:bidi w:val="0"/>
        <w:adjustRightInd w:val="0"/>
        <w:ind w:left="142" w:right="49"/>
        <w:jc w:val="center"/>
        <w:rPr>
          <w:b/>
          <w:bCs/>
          <w:sz w:val="36"/>
          <w:szCs w:val="36"/>
        </w:rPr>
      </w:pPr>
    </w:p>
    <w:p w:rsidR="00F51E80" w:rsidRDefault="00E52FAB" w:rsidP="00A86664">
      <w:pPr>
        <w:bidi w:val="0"/>
        <w:spacing w:after="200" w:line="276" w:lineRule="auto"/>
      </w:pPr>
    </w:p>
    <w:sectPr w:rsidR="00F51E80" w:rsidSect="006D7257">
      <w:pgSz w:w="12240" w:h="15840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AA60DD"/>
    <w:multiLevelType w:val="hybridMultilevel"/>
    <w:tmpl w:val="92AEA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0D"/>
    <w:rsid w:val="001F2E58"/>
    <w:rsid w:val="00463D72"/>
    <w:rsid w:val="006D7257"/>
    <w:rsid w:val="00A25E02"/>
    <w:rsid w:val="00A86664"/>
    <w:rsid w:val="00AC4D0D"/>
    <w:rsid w:val="00B51A43"/>
    <w:rsid w:val="00B831EF"/>
    <w:rsid w:val="00E52FAB"/>
    <w:rsid w:val="00F51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D7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463D7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63D72"/>
    <w:pPr>
      <w:ind w:left="720"/>
      <w:contextualSpacing/>
    </w:pPr>
  </w:style>
  <w:style w:type="table" w:styleId="TableGrid">
    <w:name w:val="Table Grid"/>
    <w:basedOn w:val="TableNormal"/>
    <w:uiPriority w:val="59"/>
    <w:rsid w:val="00463D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F2E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E5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D7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463D7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63D72"/>
    <w:pPr>
      <w:ind w:left="720"/>
      <w:contextualSpacing/>
    </w:pPr>
  </w:style>
  <w:style w:type="table" w:styleId="TableGrid">
    <w:name w:val="Table Grid"/>
    <w:basedOn w:val="TableNormal"/>
    <w:uiPriority w:val="59"/>
    <w:rsid w:val="00463D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F2E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E5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5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 Toraih</dc:creator>
  <cp:lastModifiedBy>AIT</cp:lastModifiedBy>
  <cp:revision>3</cp:revision>
  <dcterms:created xsi:type="dcterms:W3CDTF">2016-02-09T20:04:00Z</dcterms:created>
  <dcterms:modified xsi:type="dcterms:W3CDTF">2017-10-17T23:05:00Z</dcterms:modified>
</cp:coreProperties>
</file>