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B4D" w:rsidRDefault="00CB2B4D" w:rsidP="00CB2B4D">
      <w:pPr>
        <w:rPr>
          <w:rFonts w:asciiTheme="majorBidi" w:hAnsiTheme="majorBidi" w:cstheme="majorBidi"/>
          <w:sz w:val="28"/>
          <w:szCs w:val="28"/>
        </w:rPr>
      </w:pPr>
      <w:r w:rsidRPr="00757130">
        <w:rPr>
          <w:rFonts w:asciiTheme="majorBidi" w:hAnsiTheme="majorBidi" w:cstheme="majorBidi"/>
          <w:sz w:val="28"/>
          <w:szCs w:val="28"/>
        </w:rPr>
        <w:t xml:space="preserve">Effect of </w:t>
      </w:r>
      <w:proofErr w:type="spellStart"/>
      <w:r w:rsidRPr="00757130">
        <w:rPr>
          <w:rFonts w:asciiTheme="majorBidi" w:hAnsiTheme="majorBidi" w:cstheme="majorBidi"/>
          <w:sz w:val="28"/>
          <w:szCs w:val="28"/>
        </w:rPr>
        <w:t>Laminin</w:t>
      </w:r>
      <w:proofErr w:type="spellEnd"/>
      <w:r w:rsidRPr="00757130">
        <w:rPr>
          <w:rFonts w:asciiTheme="majorBidi" w:hAnsiTheme="majorBidi" w:cstheme="majorBidi"/>
          <w:sz w:val="28"/>
          <w:szCs w:val="28"/>
        </w:rPr>
        <w:t xml:space="preserve"> on </w:t>
      </w:r>
      <w:proofErr w:type="spellStart"/>
      <w:r w:rsidRPr="00757130">
        <w:rPr>
          <w:rFonts w:asciiTheme="majorBidi" w:hAnsiTheme="majorBidi" w:cstheme="majorBidi"/>
          <w:sz w:val="28"/>
          <w:szCs w:val="28"/>
        </w:rPr>
        <w:t>Neurotrophic</w:t>
      </w:r>
      <w:proofErr w:type="spellEnd"/>
      <w:r w:rsidRPr="00757130">
        <w:rPr>
          <w:rFonts w:asciiTheme="majorBidi" w:hAnsiTheme="majorBidi" w:cstheme="majorBidi"/>
          <w:sz w:val="28"/>
          <w:szCs w:val="28"/>
        </w:rPr>
        <w:t xml:space="preserve"> Factors Expression in Schwann-Like Cells Induced from Human Adipose-Derived Stem Cells </w:t>
      </w:r>
      <w:proofErr w:type="gramStart"/>
      <w:r w:rsidRPr="00757130">
        <w:rPr>
          <w:rFonts w:asciiTheme="majorBidi" w:hAnsiTheme="majorBidi" w:cstheme="majorBidi"/>
          <w:sz w:val="28"/>
          <w:szCs w:val="28"/>
        </w:rPr>
        <w:t>In</w:t>
      </w:r>
      <w:proofErr w:type="gramEnd"/>
      <w:r w:rsidRPr="00757130">
        <w:rPr>
          <w:rFonts w:asciiTheme="majorBidi" w:hAnsiTheme="majorBidi" w:cstheme="majorBidi"/>
          <w:sz w:val="28"/>
          <w:szCs w:val="28"/>
        </w:rPr>
        <w:t xml:space="preserve"> Vitro</w:t>
      </w:r>
    </w:p>
    <w:p w:rsidR="00757130" w:rsidRPr="00757130" w:rsidRDefault="00757130" w:rsidP="00CB2B4D">
      <w:pPr>
        <w:rPr>
          <w:rFonts w:asciiTheme="majorBidi" w:hAnsiTheme="majorBidi" w:cstheme="majorBidi"/>
          <w:sz w:val="28"/>
          <w:szCs w:val="28"/>
        </w:rPr>
      </w:pPr>
    </w:p>
    <w:p w:rsidR="00CB2B4D" w:rsidRPr="00757130" w:rsidRDefault="00CB2B4D" w:rsidP="00336BC3">
      <w:pPr>
        <w:rPr>
          <w:rFonts w:asciiTheme="majorBidi" w:hAnsiTheme="majorBidi" w:cstheme="majorBidi"/>
          <w:sz w:val="28"/>
          <w:szCs w:val="28"/>
        </w:rPr>
      </w:pPr>
      <w:r w:rsidRPr="00757130">
        <w:rPr>
          <w:rFonts w:asciiTheme="majorBidi" w:hAnsiTheme="majorBidi" w:cstheme="majorBidi"/>
          <w:sz w:val="28"/>
          <w:szCs w:val="28"/>
        </w:rPr>
        <w:t xml:space="preserve"> Mina </w:t>
      </w:r>
      <w:proofErr w:type="spellStart"/>
      <w:r w:rsidRPr="00757130">
        <w:rPr>
          <w:rFonts w:asciiTheme="majorBidi" w:hAnsiTheme="majorBidi" w:cstheme="majorBidi"/>
          <w:sz w:val="28"/>
          <w:szCs w:val="28"/>
        </w:rPr>
        <w:t>Tadjalli</w:t>
      </w:r>
      <w:proofErr w:type="spellEnd"/>
      <w:r w:rsidR="00757130" w:rsidRPr="00757130">
        <w:rPr>
          <w:rFonts w:asciiTheme="majorBidi" w:hAnsiTheme="majorBidi" w:cstheme="majorBidi"/>
          <w:sz w:val="28"/>
          <w:szCs w:val="28"/>
        </w:rPr>
        <w:t xml:space="preserve"> </w:t>
      </w:r>
      <w:proofErr w:type="gramStart"/>
      <w:r w:rsidR="00757130" w:rsidRPr="00336BC3">
        <w:rPr>
          <w:rFonts w:asciiTheme="majorBidi" w:hAnsiTheme="majorBidi" w:cstheme="majorBidi"/>
          <w:sz w:val="28"/>
          <w:szCs w:val="28"/>
          <w:vertAlign w:val="superscript"/>
        </w:rPr>
        <w:t>1</w:t>
      </w:r>
      <w:r w:rsidR="00757130" w:rsidRPr="00757130">
        <w:rPr>
          <w:rFonts w:asciiTheme="majorBidi" w:hAnsiTheme="majorBidi" w:cstheme="majorBidi"/>
          <w:sz w:val="28"/>
          <w:szCs w:val="28"/>
        </w:rPr>
        <w:t xml:space="preserve"> ,</w:t>
      </w:r>
      <w:proofErr w:type="gramEnd"/>
      <w:r w:rsidRPr="00757130">
        <w:rPr>
          <w:rFonts w:asciiTheme="majorBidi" w:hAnsiTheme="majorBidi" w:cstheme="majorBidi"/>
          <w:sz w:val="28"/>
          <w:szCs w:val="28"/>
        </w:rPr>
        <w:t xml:space="preserve"> </w:t>
      </w:r>
      <w:r w:rsidR="00757130" w:rsidRPr="00757130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757130" w:rsidRPr="00757130">
        <w:rPr>
          <w:rFonts w:asciiTheme="majorBidi" w:hAnsiTheme="majorBidi" w:cstheme="majorBidi"/>
          <w:sz w:val="28"/>
          <w:szCs w:val="28"/>
        </w:rPr>
        <w:t>Giti</w:t>
      </w:r>
      <w:proofErr w:type="spellEnd"/>
      <w:r w:rsidR="00757130" w:rsidRPr="00757130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757130" w:rsidRPr="00757130">
        <w:rPr>
          <w:rFonts w:asciiTheme="majorBidi" w:hAnsiTheme="majorBidi" w:cstheme="majorBidi"/>
          <w:sz w:val="28"/>
          <w:szCs w:val="28"/>
        </w:rPr>
        <w:t>Zarinfard</w:t>
      </w:r>
      <w:proofErr w:type="spellEnd"/>
      <w:r w:rsidR="00757130">
        <w:rPr>
          <w:rFonts w:asciiTheme="majorBidi" w:hAnsiTheme="majorBidi" w:cstheme="majorBidi"/>
          <w:sz w:val="28"/>
          <w:szCs w:val="28"/>
        </w:rPr>
        <w:t xml:space="preserve"> </w:t>
      </w:r>
      <w:r w:rsidR="00757130" w:rsidRPr="00336BC3">
        <w:rPr>
          <w:rFonts w:asciiTheme="majorBidi" w:hAnsiTheme="majorBidi" w:cstheme="majorBidi"/>
          <w:sz w:val="28"/>
          <w:szCs w:val="28"/>
          <w:vertAlign w:val="superscript"/>
        </w:rPr>
        <w:t>1</w:t>
      </w:r>
      <w:r w:rsidR="00757130" w:rsidRPr="00757130">
        <w:rPr>
          <w:rFonts w:asciiTheme="majorBidi" w:hAnsiTheme="majorBidi" w:cstheme="majorBidi"/>
          <w:sz w:val="28"/>
          <w:szCs w:val="28"/>
        </w:rPr>
        <w:t xml:space="preserve">, </w:t>
      </w:r>
      <w:r w:rsidRPr="00757130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757130">
        <w:rPr>
          <w:rFonts w:asciiTheme="majorBidi" w:hAnsiTheme="majorBidi" w:cstheme="majorBidi"/>
          <w:sz w:val="28"/>
          <w:szCs w:val="28"/>
        </w:rPr>
        <w:t>Shahnaz</w:t>
      </w:r>
      <w:proofErr w:type="spellEnd"/>
      <w:r w:rsidRPr="00757130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757130">
        <w:rPr>
          <w:rFonts w:asciiTheme="majorBidi" w:hAnsiTheme="majorBidi" w:cstheme="majorBidi"/>
          <w:sz w:val="28"/>
          <w:szCs w:val="28"/>
        </w:rPr>
        <w:t>Razavi</w:t>
      </w:r>
      <w:proofErr w:type="spellEnd"/>
      <w:r w:rsidR="00757130">
        <w:rPr>
          <w:rFonts w:asciiTheme="majorBidi" w:hAnsiTheme="majorBidi" w:cstheme="majorBidi"/>
          <w:sz w:val="28"/>
          <w:szCs w:val="28"/>
        </w:rPr>
        <w:t xml:space="preserve"> </w:t>
      </w:r>
      <w:r w:rsidR="00757130" w:rsidRPr="00336BC3">
        <w:rPr>
          <w:rFonts w:asciiTheme="majorBidi" w:hAnsiTheme="majorBidi" w:cstheme="majorBidi"/>
          <w:sz w:val="28"/>
          <w:szCs w:val="28"/>
          <w:vertAlign w:val="superscript"/>
        </w:rPr>
        <w:t>2</w:t>
      </w:r>
      <w:r w:rsidR="00336BC3">
        <w:rPr>
          <w:rFonts w:asciiTheme="majorBidi" w:hAnsiTheme="majorBidi" w:cstheme="majorBidi"/>
          <w:sz w:val="28"/>
          <w:szCs w:val="28"/>
        </w:rPr>
        <w:t xml:space="preserve"> </w:t>
      </w:r>
    </w:p>
    <w:p w:rsidR="00757130" w:rsidRPr="00757130" w:rsidRDefault="00757130" w:rsidP="00757130">
      <w:pPr>
        <w:rPr>
          <w:rFonts w:asciiTheme="majorBidi" w:hAnsiTheme="majorBidi" w:cstheme="majorBidi"/>
          <w:sz w:val="24"/>
          <w:szCs w:val="24"/>
        </w:rPr>
      </w:pPr>
      <w:r w:rsidRPr="00757130">
        <w:rPr>
          <w:rFonts w:asciiTheme="majorBidi" w:hAnsiTheme="majorBidi" w:cstheme="majorBidi"/>
          <w:sz w:val="24"/>
          <w:szCs w:val="24"/>
        </w:rPr>
        <w:t>(1) Department of Anatomical Sciences, School of Veterinary Medicine, Shiraz University, Shiraz 71345-1731, Iran</w:t>
      </w:r>
      <w:r>
        <w:rPr>
          <w:rFonts w:asciiTheme="majorBidi" w:hAnsiTheme="majorBidi" w:cstheme="majorBidi"/>
          <w:sz w:val="24"/>
          <w:szCs w:val="24"/>
        </w:rPr>
        <w:t>.</w:t>
      </w:r>
      <w:r w:rsidRPr="00757130">
        <w:rPr>
          <w:rFonts w:asciiTheme="majorBidi" w:hAnsiTheme="majorBidi" w:cstheme="majorBidi"/>
          <w:sz w:val="24"/>
          <w:szCs w:val="24"/>
        </w:rPr>
        <w:t xml:space="preserve"> </w:t>
      </w:r>
    </w:p>
    <w:p w:rsidR="00757130" w:rsidRPr="00757130" w:rsidRDefault="00757130" w:rsidP="00757130">
      <w:pPr>
        <w:rPr>
          <w:rFonts w:asciiTheme="majorBidi" w:hAnsiTheme="majorBidi" w:cstheme="majorBidi"/>
          <w:sz w:val="24"/>
          <w:szCs w:val="24"/>
        </w:rPr>
      </w:pPr>
      <w:r w:rsidRPr="00757130">
        <w:rPr>
          <w:rFonts w:asciiTheme="majorBidi" w:hAnsiTheme="majorBidi" w:cstheme="majorBidi"/>
          <w:sz w:val="24"/>
          <w:szCs w:val="24"/>
        </w:rPr>
        <w:t>(2) Department of Anatomical Sciences, School of Medicine, Isfahan University of Medical Sciences, Isfahan 81744-176, Iran</w:t>
      </w:r>
      <w:r>
        <w:rPr>
          <w:rFonts w:asciiTheme="majorBidi" w:hAnsiTheme="majorBidi" w:cstheme="majorBidi"/>
          <w:sz w:val="24"/>
          <w:szCs w:val="24"/>
        </w:rPr>
        <w:t>.</w:t>
      </w:r>
      <w:r w:rsidRPr="00757130">
        <w:rPr>
          <w:rFonts w:asciiTheme="majorBidi" w:hAnsiTheme="majorBidi" w:cstheme="majorBidi"/>
          <w:sz w:val="24"/>
          <w:szCs w:val="24"/>
        </w:rPr>
        <w:t xml:space="preserve"> </w:t>
      </w:r>
    </w:p>
    <w:p w:rsidR="00CB2B4D" w:rsidRPr="00757130" w:rsidRDefault="00336BC3" w:rsidP="00336BC3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  <w:bookmarkStart w:id="0" w:name="_GoBack"/>
      <w:bookmarkEnd w:id="0"/>
      <w:r w:rsidR="00757130">
        <w:rPr>
          <w:rFonts w:asciiTheme="majorBidi" w:hAnsiTheme="majorBidi" w:cstheme="majorBidi"/>
          <w:sz w:val="28"/>
          <w:szCs w:val="28"/>
        </w:rPr>
        <w:t xml:space="preserve">     </w:t>
      </w:r>
      <w:r w:rsidR="00CB2B4D" w:rsidRPr="00757130">
        <w:rPr>
          <w:rFonts w:asciiTheme="majorBidi" w:hAnsiTheme="majorBidi" w:cstheme="majorBidi"/>
          <w:sz w:val="28"/>
          <w:szCs w:val="28"/>
        </w:rPr>
        <w:t>The Schwann-like cells can be considered as promising in stem cell therapies, at least in experimental models. Human adipose-derived stem cells (ADSCs) are induced into Schwann-like cells (SC-like cells</w:t>
      </w:r>
      <w:proofErr w:type="gramStart"/>
      <w:r w:rsidR="00CB2B4D" w:rsidRPr="00757130">
        <w:rPr>
          <w:rFonts w:asciiTheme="majorBidi" w:hAnsiTheme="majorBidi" w:cstheme="majorBidi"/>
          <w:sz w:val="28"/>
          <w:szCs w:val="28"/>
        </w:rPr>
        <w:t>)and</w:t>
      </w:r>
      <w:proofErr w:type="gramEnd"/>
      <w:r w:rsidR="00CB2B4D" w:rsidRPr="00757130">
        <w:rPr>
          <w:rFonts w:asciiTheme="majorBidi" w:hAnsiTheme="majorBidi" w:cstheme="majorBidi"/>
          <w:sz w:val="28"/>
          <w:szCs w:val="28"/>
        </w:rPr>
        <w:t xml:space="preserve"> are cultured on either a plastic surface or </w:t>
      </w:r>
      <w:proofErr w:type="spellStart"/>
      <w:r w:rsidR="00CB2B4D" w:rsidRPr="00757130">
        <w:rPr>
          <w:rFonts w:asciiTheme="majorBidi" w:hAnsiTheme="majorBidi" w:cstheme="majorBidi"/>
          <w:sz w:val="28"/>
          <w:szCs w:val="28"/>
        </w:rPr>
        <w:t>laminin</w:t>
      </w:r>
      <w:proofErr w:type="spellEnd"/>
      <w:r w:rsidR="00CB2B4D" w:rsidRPr="00757130">
        <w:rPr>
          <w:rFonts w:asciiTheme="majorBidi" w:hAnsiTheme="majorBidi" w:cstheme="majorBidi"/>
          <w:sz w:val="28"/>
          <w:szCs w:val="28"/>
        </w:rPr>
        <w:t xml:space="preserve">-coated plates. The findings here reveal that </w:t>
      </w:r>
      <w:proofErr w:type="spellStart"/>
      <w:r w:rsidR="00CB2B4D" w:rsidRPr="00757130">
        <w:rPr>
          <w:rFonts w:asciiTheme="majorBidi" w:hAnsiTheme="majorBidi" w:cstheme="majorBidi"/>
          <w:sz w:val="28"/>
          <w:szCs w:val="28"/>
        </w:rPr>
        <w:t>laminin</w:t>
      </w:r>
      <w:proofErr w:type="spellEnd"/>
      <w:r w:rsidR="00CB2B4D" w:rsidRPr="00757130">
        <w:rPr>
          <w:rFonts w:asciiTheme="majorBidi" w:hAnsiTheme="majorBidi" w:cstheme="majorBidi"/>
          <w:sz w:val="28"/>
          <w:szCs w:val="28"/>
        </w:rPr>
        <w:t xml:space="preserve"> is a critical component in extracellular matrix (ECM) of SC-like cells at in vitro. The survival rate of SC-like cells on a </w:t>
      </w:r>
      <w:proofErr w:type="spellStart"/>
      <w:r w:rsidR="00CB2B4D" w:rsidRPr="00757130">
        <w:rPr>
          <w:rFonts w:asciiTheme="majorBidi" w:hAnsiTheme="majorBidi" w:cstheme="majorBidi"/>
          <w:sz w:val="28"/>
          <w:szCs w:val="28"/>
        </w:rPr>
        <w:t>laminin</w:t>
      </w:r>
      <w:proofErr w:type="spellEnd"/>
      <w:r w:rsidR="00CB2B4D" w:rsidRPr="00757130">
        <w:rPr>
          <w:rFonts w:asciiTheme="majorBidi" w:hAnsiTheme="majorBidi" w:cstheme="majorBidi"/>
          <w:sz w:val="28"/>
          <w:szCs w:val="28"/>
        </w:rPr>
        <w:t xml:space="preserve"> matrix are measured through MTT assay and it is found that this rate is significantly higher than that of the cells grown on a plastic surface (P &lt; 0.05). Schwann cell markers and the </w:t>
      </w:r>
      <w:proofErr w:type="spellStart"/>
      <w:r w:rsidR="00CB2B4D" w:rsidRPr="00757130">
        <w:rPr>
          <w:rFonts w:asciiTheme="majorBidi" w:hAnsiTheme="majorBidi" w:cstheme="majorBidi"/>
          <w:sz w:val="28"/>
          <w:szCs w:val="28"/>
        </w:rPr>
        <w:t>myelinogenic</w:t>
      </w:r>
      <w:proofErr w:type="spellEnd"/>
      <w:r w:rsidR="00CB2B4D" w:rsidRPr="00757130">
        <w:rPr>
          <w:rFonts w:asciiTheme="majorBidi" w:hAnsiTheme="majorBidi" w:cstheme="majorBidi"/>
          <w:sz w:val="28"/>
          <w:szCs w:val="28"/>
        </w:rPr>
        <w:t xml:space="preserve"> ability of SC-like cells at the presence versus absence of </w:t>
      </w:r>
      <w:proofErr w:type="spellStart"/>
      <w:r w:rsidR="00CB2B4D" w:rsidRPr="00757130">
        <w:rPr>
          <w:rFonts w:asciiTheme="majorBidi" w:hAnsiTheme="majorBidi" w:cstheme="majorBidi"/>
          <w:sz w:val="28"/>
          <w:szCs w:val="28"/>
        </w:rPr>
        <w:t>laminin</w:t>
      </w:r>
      <w:proofErr w:type="spellEnd"/>
      <w:r w:rsidR="00CB2B4D" w:rsidRPr="00757130">
        <w:rPr>
          <w:rFonts w:asciiTheme="majorBidi" w:hAnsiTheme="majorBidi" w:cstheme="majorBidi"/>
          <w:sz w:val="28"/>
          <w:szCs w:val="28"/>
        </w:rPr>
        <w:t xml:space="preserve"> are assessed through immunocytochemistry. The analysis of GFAP/S100β and S100β/MBP markers indicate that </w:t>
      </w:r>
      <w:proofErr w:type="spellStart"/>
      <w:r w:rsidR="00CB2B4D" w:rsidRPr="00757130">
        <w:rPr>
          <w:rFonts w:asciiTheme="majorBidi" w:hAnsiTheme="majorBidi" w:cstheme="majorBidi"/>
          <w:sz w:val="28"/>
          <w:szCs w:val="28"/>
        </w:rPr>
        <w:t>laminin</w:t>
      </w:r>
      <w:proofErr w:type="spellEnd"/>
      <w:r w:rsidR="00CB2B4D" w:rsidRPr="00757130">
        <w:rPr>
          <w:rFonts w:asciiTheme="majorBidi" w:hAnsiTheme="majorBidi" w:cstheme="majorBidi"/>
          <w:sz w:val="28"/>
          <w:szCs w:val="28"/>
        </w:rPr>
        <w:t xml:space="preserve"> can increase the differentiated rate and </w:t>
      </w:r>
      <w:proofErr w:type="spellStart"/>
      <w:r w:rsidR="00CB2B4D" w:rsidRPr="00757130">
        <w:rPr>
          <w:rFonts w:asciiTheme="majorBidi" w:hAnsiTheme="majorBidi" w:cstheme="majorBidi"/>
          <w:sz w:val="28"/>
          <w:szCs w:val="28"/>
        </w:rPr>
        <w:t>myelinogenic</w:t>
      </w:r>
      <w:proofErr w:type="spellEnd"/>
      <w:r w:rsidR="00CB2B4D" w:rsidRPr="00757130">
        <w:rPr>
          <w:rFonts w:asciiTheme="majorBidi" w:hAnsiTheme="majorBidi" w:cstheme="majorBidi"/>
          <w:sz w:val="28"/>
          <w:szCs w:val="28"/>
        </w:rPr>
        <w:t xml:space="preserve"> potential of SC-like cells. The expression levels of SCs markers, myelin basic proteins (MBP), and </w:t>
      </w:r>
      <w:proofErr w:type="spellStart"/>
      <w:r w:rsidR="00CB2B4D" w:rsidRPr="00757130">
        <w:rPr>
          <w:rFonts w:asciiTheme="majorBidi" w:hAnsiTheme="majorBidi" w:cstheme="majorBidi"/>
          <w:sz w:val="28"/>
          <w:szCs w:val="28"/>
        </w:rPr>
        <w:t>neurotrophic</w:t>
      </w:r>
      <w:proofErr w:type="spellEnd"/>
      <w:r w:rsidR="00CB2B4D" w:rsidRPr="00757130">
        <w:rPr>
          <w:rFonts w:asciiTheme="majorBidi" w:hAnsiTheme="majorBidi" w:cstheme="majorBidi"/>
          <w:sz w:val="28"/>
          <w:szCs w:val="28"/>
        </w:rPr>
        <w:t xml:space="preserve"> factors in two conditions are analyzed by real-time reverse transcription polymerase chain reaction(RT-PCR).The findings here demonstrated that gene expression of SCs markers, MBP, and  brain-derived </w:t>
      </w:r>
      <w:proofErr w:type="spellStart"/>
      <w:r w:rsidR="00CB2B4D" w:rsidRPr="00757130">
        <w:rPr>
          <w:rFonts w:asciiTheme="majorBidi" w:hAnsiTheme="majorBidi" w:cstheme="majorBidi"/>
          <w:sz w:val="28"/>
          <w:szCs w:val="28"/>
        </w:rPr>
        <w:t>neurotrophic</w:t>
      </w:r>
      <w:proofErr w:type="spellEnd"/>
      <w:r w:rsidR="00CB2B4D" w:rsidRPr="00757130">
        <w:rPr>
          <w:rFonts w:asciiTheme="majorBidi" w:hAnsiTheme="majorBidi" w:cstheme="majorBidi"/>
          <w:sz w:val="28"/>
          <w:szCs w:val="28"/>
        </w:rPr>
        <w:t xml:space="preserve"> factors (BDNF) increase significantly on </w:t>
      </w:r>
      <w:proofErr w:type="spellStart"/>
      <w:r w:rsidR="00CB2B4D" w:rsidRPr="00757130">
        <w:rPr>
          <w:rFonts w:asciiTheme="majorBidi" w:hAnsiTheme="majorBidi" w:cstheme="majorBidi"/>
          <w:sz w:val="28"/>
          <w:szCs w:val="28"/>
        </w:rPr>
        <w:t>laminin</w:t>
      </w:r>
      <w:proofErr w:type="spellEnd"/>
      <w:r w:rsidR="00CB2B4D" w:rsidRPr="00757130">
        <w:rPr>
          <w:rFonts w:asciiTheme="majorBidi" w:hAnsiTheme="majorBidi" w:cstheme="majorBidi"/>
          <w:sz w:val="28"/>
          <w:szCs w:val="28"/>
        </w:rPr>
        <w:t xml:space="preserve"> compared to plastic surface (P &lt; 0.01). In contrast, the nerve growth </w:t>
      </w:r>
      <w:proofErr w:type="gramStart"/>
      <w:r w:rsidR="00CB2B4D" w:rsidRPr="00757130">
        <w:rPr>
          <w:rFonts w:asciiTheme="majorBidi" w:hAnsiTheme="majorBidi" w:cstheme="majorBidi"/>
          <w:sz w:val="28"/>
          <w:szCs w:val="28"/>
        </w:rPr>
        <w:t>factor(</w:t>
      </w:r>
      <w:proofErr w:type="gramEnd"/>
      <w:r w:rsidR="00CB2B4D" w:rsidRPr="00757130">
        <w:rPr>
          <w:rFonts w:asciiTheme="majorBidi" w:hAnsiTheme="majorBidi" w:cstheme="majorBidi"/>
          <w:sz w:val="28"/>
          <w:szCs w:val="28"/>
        </w:rPr>
        <w:t xml:space="preserve">NGF) expression is down regulated significantly on </w:t>
      </w:r>
      <w:proofErr w:type="spellStart"/>
      <w:r w:rsidR="00CB2B4D" w:rsidRPr="00757130">
        <w:rPr>
          <w:rFonts w:asciiTheme="majorBidi" w:hAnsiTheme="majorBidi" w:cstheme="majorBidi"/>
          <w:sz w:val="28"/>
          <w:szCs w:val="28"/>
        </w:rPr>
        <w:t>laminin</w:t>
      </w:r>
      <w:proofErr w:type="spellEnd"/>
      <w:r w:rsidR="00CB2B4D" w:rsidRPr="00757130">
        <w:rPr>
          <w:rFonts w:asciiTheme="majorBidi" w:hAnsiTheme="majorBidi" w:cstheme="majorBidi"/>
          <w:sz w:val="28"/>
          <w:szCs w:val="28"/>
        </w:rPr>
        <w:t>-coated plates (P &lt; 0.05). The obtained data</w:t>
      </w:r>
    </w:p>
    <w:p w:rsidR="00CB2B4D" w:rsidRPr="00757130" w:rsidRDefault="00CB2B4D" w:rsidP="00CB2B4D">
      <w:pPr>
        <w:rPr>
          <w:rFonts w:asciiTheme="majorBidi" w:hAnsiTheme="majorBidi" w:cstheme="majorBidi"/>
          <w:sz w:val="28"/>
          <w:szCs w:val="28"/>
        </w:rPr>
      </w:pPr>
      <w:proofErr w:type="gramStart"/>
      <w:r w:rsidRPr="00757130">
        <w:rPr>
          <w:rFonts w:asciiTheme="majorBidi" w:hAnsiTheme="majorBidi" w:cstheme="majorBidi"/>
          <w:sz w:val="28"/>
          <w:szCs w:val="28"/>
        </w:rPr>
        <w:t>suggest</w:t>
      </w:r>
      <w:proofErr w:type="gramEnd"/>
      <w:r w:rsidRPr="00757130">
        <w:rPr>
          <w:rFonts w:asciiTheme="majorBidi" w:hAnsiTheme="majorBidi" w:cstheme="majorBidi"/>
          <w:sz w:val="28"/>
          <w:szCs w:val="28"/>
        </w:rPr>
        <w:t xml:space="preserve"> that production of </w:t>
      </w:r>
      <w:proofErr w:type="spellStart"/>
      <w:r w:rsidRPr="00757130">
        <w:rPr>
          <w:rFonts w:asciiTheme="majorBidi" w:hAnsiTheme="majorBidi" w:cstheme="majorBidi"/>
          <w:sz w:val="28"/>
          <w:szCs w:val="28"/>
        </w:rPr>
        <w:t>neurotrophic</w:t>
      </w:r>
      <w:proofErr w:type="spellEnd"/>
      <w:r w:rsidRPr="00757130">
        <w:rPr>
          <w:rFonts w:asciiTheme="majorBidi" w:hAnsiTheme="majorBidi" w:cstheme="majorBidi"/>
          <w:sz w:val="28"/>
          <w:szCs w:val="28"/>
        </w:rPr>
        <w:t xml:space="preserve"> factors in SC-like cell in presence of </w:t>
      </w:r>
      <w:proofErr w:type="spellStart"/>
      <w:r w:rsidRPr="00757130">
        <w:rPr>
          <w:rFonts w:asciiTheme="majorBidi" w:hAnsiTheme="majorBidi" w:cstheme="majorBidi"/>
          <w:sz w:val="28"/>
          <w:szCs w:val="28"/>
        </w:rPr>
        <w:t>laminin</w:t>
      </w:r>
      <w:proofErr w:type="spellEnd"/>
      <w:r w:rsidRPr="00757130">
        <w:rPr>
          <w:rFonts w:asciiTheme="majorBidi" w:hAnsiTheme="majorBidi" w:cstheme="majorBidi"/>
          <w:sz w:val="28"/>
          <w:szCs w:val="28"/>
        </w:rPr>
        <w:t xml:space="preserve"> can induce appropriate microenvironment for nerve repair in neurodegenerative diseases.</w:t>
      </w:r>
    </w:p>
    <w:p w:rsidR="00CB2B4D" w:rsidRPr="00757130" w:rsidRDefault="00CB2B4D" w:rsidP="00757130">
      <w:pPr>
        <w:rPr>
          <w:rFonts w:asciiTheme="majorBidi" w:hAnsiTheme="majorBidi" w:cstheme="majorBidi"/>
          <w:sz w:val="28"/>
          <w:szCs w:val="28"/>
        </w:rPr>
      </w:pPr>
      <w:r w:rsidRPr="00757130">
        <w:rPr>
          <w:rFonts w:asciiTheme="majorBidi" w:hAnsiTheme="majorBidi" w:cstheme="majorBidi"/>
          <w:sz w:val="28"/>
          <w:szCs w:val="28"/>
        </w:rPr>
        <w:t>Keywords</w:t>
      </w:r>
      <w:r w:rsidR="00757130">
        <w:rPr>
          <w:rFonts w:asciiTheme="majorBidi" w:hAnsiTheme="majorBidi" w:cstheme="majorBidi"/>
          <w:sz w:val="28"/>
          <w:szCs w:val="28"/>
        </w:rPr>
        <w:t xml:space="preserve">: </w:t>
      </w:r>
      <w:r w:rsidRPr="00757130">
        <w:rPr>
          <w:rFonts w:asciiTheme="majorBidi" w:hAnsiTheme="majorBidi" w:cstheme="majorBidi"/>
          <w:sz w:val="28"/>
          <w:szCs w:val="28"/>
        </w:rPr>
        <w:t xml:space="preserve"> Schwann cell.</w:t>
      </w:r>
      <w:r w:rsidR="00757130">
        <w:rPr>
          <w:rFonts w:asciiTheme="majorBidi" w:hAnsiTheme="majorBidi" w:cstheme="majorBidi"/>
          <w:sz w:val="28"/>
          <w:szCs w:val="28"/>
        </w:rPr>
        <w:t xml:space="preserve"> </w:t>
      </w:r>
      <w:r w:rsidRPr="00757130">
        <w:rPr>
          <w:rFonts w:asciiTheme="majorBidi" w:hAnsiTheme="majorBidi" w:cstheme="majorBidi"/>
          <w:sz w:val="28"/>
          <w:szCs w:val="28"/>
        </w:rPr>
        <w:t xml:space="preserve">Adipose-derived stem </w:t>
      </w:r>
      <w:r w:rsidR="00757130">
        <w:rPr>
          <w:rFonts w:asciiTheme="majorBidi" w:hAnsiTheme="majorBidi" w:cstheme="majorBidi"/>
          <w:sz w:val="28"/>
          <w:szCs w:val="28"/>
        </w:rPr>
        <w:t xml:space="preserve">cells. </w:t>
      </w:r>
      <w:r w:rsidRPr="00757130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757130">
        <w:rPr>
          <w:rFonts w:asciiTheme="majorBidi" w:hAnsiTheme="majorBidi" w:cstheme="majorBidi"/>
          <w:sz w:val="28"/>
          <w:szCs w:val="28"/>
        </w:rPr>
        <w:t>Neurotrophic</w:t>
      </w:r>
      <w:proofErr w:type="spellEnd"/>
      <w:r w:rsidRPr="00757130">
        <w:rPr>
          <w:rFonts w:asciiTheme="majorBidi" w:hAnsiTheme="majorBidi" w:cstheme="majorBidi"/>
          <w:sz w:val="28"/>
          <w:szCs w:val="28"/>
        </w:rPr>
        <w:t xml:space="preserve"> factors .</w:t>
      </w:r>
      <w:proofErr w:type="spellStart"/>
      <w:r w:rsidRPr="00757130">
        <w:rPr>
          <w:rFonts w:asciiTheme="majorBidi" w:hAnsiTheme="majorBidi" w:cstheme="majorBidi"/>
          <w:sz w:val="28"/>
          <w:szCs w:val="28"/>
        </w:rPr>
        <w:t>Laminin</w:t>
      </w:r>
      <w:proofErr w:type="spellEnd"/>
      <w:r w:rsidRPr="00757130">
        <w:rPr>
          <w:rFonts w:asciiTheme="majorBidi" w:hAnsiTheme="majorBidi" w:cstheme="majorBidi"/>
          <w:sz w:val="28"/>
          <w:szCs w:val="28"/>
        </w:rPr>
        <w:t>.</w:t>
      </w:r>
      <w:r w:rsidR="00757130">
        <w:rPr>
          <w:rFonts w:asciiTheme="majorBidi" w:hAnsiTheme="majorBidi" w:cstheme="majorBidi"/>
          <w:sz w:val="28"/>
          <w:szCs w:val="28"/>
        </w:rPr>
        <w:t xml:space="preserve"> </w:t>
      </w:r>
      <w:r w:rsidRPr="00757130">
        <w:rPr>
          <w:rFonts w:asciiTheme="majorBidi" w:hAnsiTheme="majorBidi" w:cstheme="majorBidi"/>
          <w:sz w:val="28"/>
          <w:szCs w:val="28"/>
        </w:rPr>
        <w:t>Myelin</w:t>
      </w:r>
      <w:r w:rsidR="00757130">
        <w:rPr>
          <w:rFonts w:asciiTheme="majorBidi" w:hAnsiTheme="majorBidi" w:cstheme="majorBidi"/>
          <w:sz w:val="28"/>
          <w:szCs w:val="28"/>
        </w:rPr>
        <w:t xml:space="preserve">. </w:t>
      </w:r>
    </w:p>
    <w:p w:rsidR="00CB2B4D" w:rsidRPr="00757130" w:rsidRDefault="00CB2B4D" w:rsidP="00CB2B4D">
      <w:pPr>
        <w:rPr>
          <w:rFonts w:asciiTheme="majorBidi" w:hAnsiTheme="majorBidi" w:cstheme="majorBidi"/>
          <w:sz w:val="28"/>
          <w:szCs w:val="28"/>
        </w:rPr>
      </w:pPr>
    </w:p>
    <w:sectPr w:rsidR="00CB2B4D" w:rsidRPr="007571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B4D"/>
    <w:rsid w:val="0007650E"/>
    <w:rsid w:val="00155B51"/>
    <w:rsid w:val="00336BC3"/>
    <w:rsid w:val="00757130"/>
    <w:rsid w:val="00CB2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6E8ED6-AAA9-4E4B-907F-2ABB79A9D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seifollah dehghani nazhvani</dc:creator>
  <cp:keywords/>
  <dc:description/>
  <cp:lastModifiedBy>seifollah dehghani nazhvani</cp:lastModifiedBy>
  <cp:revision>3</cp:revision>
  <dcterms:created xsi:type="dcterms:W3CDTF">2016-11-06T16:33:00Z</dcterms:created>
  <dcterms:modified xsi:type="dcterms:W3CDTF">2016-11-06T19:44:00Z</dcterms:modified>
</cp:coreProperties>
</file>