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32CD9" w14:textId="54AC4684" w:rsidR="003C650C" w:rsidRDefault="003C650C" w:rsidP="003C650C">
      <w:pPr>
        <w:pStyle w:val="Title"/>
        <w:ind w:left="0"/>
        <w:rPr>
          <w:rFonts w:ascii="Arial" w:hAnsi="Arial" w:cs="Arial"/>
          <w:color w:val="001F5F"/>
          <w:sz w:val="24"/>
          <w:szCs w:val="24"/>
        </w:rPr>
      </w:pPr>
      <w:r w:rsidRPr="00DA2E6C">
        <w:rPr>
          <w:rFonts w:ascii="Arial" w:hAnsi="Arial" w:cs="Arial"/>
          <w:color w:val="001F5F"/>
          <w:sz w:val="24"/>
          <w:szCs w:val="24"/>
        </w:rPr>
        <w:t>Small Intestinal Tubulovillous Adenoma: A Rare Case Report</w:t>
      </w:r>
    </w:p>
    <w:p w14:paraId="65F9DD75" w14:textId="14E7E265" w:rsidR="003C650C" w:rsidRPr="003C650C" w:rsidRDefault="003C650C" w:rsidP="003C650C">
      <w:pPr>
        <w:pStyle w:val="Title"/>
        <w:ind w:left="0"/>
        <w:rPr>
          <w:rFonts w:ascii="Arial" w:hAnsi="Arial" w:cs="Arial"/>
          <w:color w:val="001F5F"/>
          <w:sz w:val="18"/>
          <w:szCs w:val="18"/>
        </w:rPr>
      </w:pPr>
      <w:r w:rsidRPr="003C650C">
        <w:rPr>
          <w:rFonts w:ascii="Arial" w:hAnsi="Arial" w:cs="Arial"/>
          <w:sz w:val="18"/>
          <w:szCs w:val="18"/>
        </w:rPr>
        <w:t>Bayanduuren B*</w:t>
      </w:r>
      <w:r>
        <w:rPr>
          <w:rFonts w:ascii="Arial" w:hAnsi="Arial" w:cs="Arial"/>
          <w:sz w:val="18"/>
          <w:szCs w:val="18"/>
        </w:rPr>
        <w:t xml:space="preserve"> </w:t>
      </w:r>
      <w:r w:rsidRPr="003C650C">
        <w:rPr>
          <w:rFonts w:ascii="Arial" w:hAnsi="Arial" w:cs="Arial"/>
          <w:b w:val="0"/>
          <w:bCs w:val="0"/>
          <w:sz w:val="18"/>
          <w:szCs w:val="18"/>
        </w:rPr>
        <w:t>Grandmed hospital, Ulaanbaatar, Mongolia</w:t>
      </w:r>
    </w:p>
    <w:p w14:paraId="4C5AF757" w14:textId="0431AF9C" w:rsidR="005973B9" w:rsidRPr="003C650C" w:rsidRDefault="003C650C" w:rsidP="003C650C">
      <w:pPr>
        <w:pStyle w:val="BodyText"/>
        <w:spacing w:before="73" w:line="198" w:lineRule="exact"/>
        <w:ind w:right="5987"/>
        <w:rPr>
          <w:rFonts w:ascii="Arial"/>
        </w:rPr>
      </w:pPr>
      <w:r>
        <w:rPr>
          <w:rFonts w:ascii="Arial"/>
        </w:rPr>
        <w:t xml:space="preserve">Mishigdorj L  </w:t>
      </w:r>
      <w:r w:rsidRPr="003C650C">
        <w:rPr>
          <w:rFonts w:ascii="Arial" w:hAnsi="Arial" w:cs="Arial"/>
        </w:rPr>
        <w:t>Grandmed hospital, Ulaanbaatar,Mongolia</w:t>
      </w:r>
    </w:p>
    <w:p w14:paraId="1A87255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DB0CD27" w14:textId="18F3CEFE" w:rsidR="00AE3E37" w:rsidRPr="00C15601" w:rsidRDefault="00A9710C" w:rsidP="003C650C">
      <w:pPr>
        <w:pStyle w:val="Heading3"/>
        <w:spacing w:before="147"/>
        <w:ind w:left="0"/>
        <w:jc w:val="both"/>
      </w:pPr>
      <w:r w:rsidRPr="00C15601">
        <w:rPr>
          <w:color w:val="BF5A14"/>
        </w:rPr>
        <w:t>Abstract</w:t>
      </w:r>
    </w:p>
    <w:p w14:paraId="573EE594" w14:textId="30FACD99" w:rsidR="003C650C" w:rsidRPr="00C15601" w:rsidRDefault="003C650C" w:rsidP="003C650C">
      <w:pPr>
        <w:spacing w:line="259" w:lineRule="auto"/>
        <w:jc w:val="both"/>
        <w:rPr>
          <w:rFonts w:ascii="Arial" w:hAnsi="Arial" w:cs="Arial"/>
          <w:b/>
          <w:bCs/>
          <w:sz w:val="20"/>
          <w:szCs w:val="20"/>
        </w:rPr>
      </w:pPr>
      <w:r w:rsidRPr="00C15601">
        <w:rPr>
          <w:rFonts w:ascii="Arial" w:hAnsi="Arial" w:cs="Arial"/>
          <w:b/>
          <w:bCs/>
          <w:sz w:val="20"/>
          <w:szCs w:val="20"/>
        </w:rPr>
        <w:t xml:space="preserve">Introduction: </w:t>
      </w:r>
      <w:r w:rsidRPr="00C15601">
        <w:rPr>
          <w:rFonts w:ascii="Arial" w:hAnsi="Arial" w:cs="Arial"/>
          <w:sz w:val="20"/>
          <w:szCs w:val="20"/>
        </w:rPr>
        <w:t>The</w:t>
      </w:r>
      <w:r w:rsidRPr="00C15601">
        <w:rPr>
          <w:rFonts w:ascii="Arial" w:hAnsi="Arial" w:cs="Arial"/>
          <w:spacing w:val="-9"/>
          <w:sz w:val="20"/>
          <w:szCs w:val="20"/>
        </w:rPr>
        <w:t xml:space="preserve"> </w:t>
      </w:r>
      <w:r w:rsidRPr="00C15601">
        <w:rPr>
          <w:rFonts w:ascii="Arial" w:hAnsi="Arial" w:cs="Arial"/>
          <w:sz w:val="20"/>
          <w:szCs w:val="20"/>
        </w:rPr>
        <w:t>small</w:t>
      </w:r>
      <w:r w:rsidRPr="00C15601">
        <w:rPr>
          <w:rFonts w:ascii="Arial" w:hAnsi="Arial" w:cs="Arial"/>
          <w:spacing w:val="-8"/>
          <w:sz w:val="20"/>
          <w:szCs w:val="20"/>
        </w:rPr>
        <w:t xml:space="preserve"> </w:t>
      </w:r>
      <w:r w:rsidRPr="00C15601">
        <w:rPr>
          <w:rFonts w:ascii="Arial" w:hAnsi="Arial" w:cs="Arial"/>
          <w:sz w:val="20"/>
          <w:szCs w:val="20"/>
        </w:rPr>
        <w:t>bowel</w:t>
      </w:r>
      <w:r w:rsidRPr="00C15601">
        <w:rPr>
          <w:rFonts w:ascii="Arial" w:hAnsi="Arial" w:cs="Arial"/>
          <w:spacing w:val="-8"/>
          <w:sz w:val="20"/>
          <w:szCs w:val="20"/>
        </w:rPr>
        <w:t xml:space="preserve"> </w:t>
      </w:r>
      <w:r w:rsidRPr="00C15601">
        <w:rPr>
          <w:rFonts w:ascii="Arial" w:hAnsi="Arial" w:cs="Arial"/>
          <w:sz w:val="20"/>
          <w:szCs w:val="20"/>
        </w:rPr>
        <w:t>accounts</w:t>
      </w:r>
      <w:r w:rsidRPr="00C15601">
        <w:rPr>
          <w:rFonts w:ascii="Arial" w:hAnsi="Arial" w:cs="Arial"/>
          <w:spacing w:val="-6"/>
          <w:sz w:val="20"/>
          <w:szCs w:val="20"/>
        </w:rPr>
        <w:t xml:space="preserve"> </w:t>
      </w:r>
      <w:r w:rsidRPr="00C15601">
        <w:rPr>
          <w:rFonts w:ascii="Arial" w:hAnsi="Arial" w:cs="Arial"/>
          <w:sz w:val="20"/>
          <w:szCs w:val="20"/>
        </w:rPr>
        <w:t>for</w:t>
      </w:r>
      <w:r w:rsidRPr="00C15601">
        <w:rPr>
          <w:rFonts w:ascii="Arial" w:hAnsi="Arial" w:cs="Arial"/>
          <w:spacing w:val="-8"/>
          <w:sz w:val="20"/>
          <w:szCs w:val="20"/>
        </w:rPr>
        <w:t xml:space="preserve"> </w:t>
      </w:r>
      <w:r w:rsidRPr="00C15601">
        <w:rPr>
          <w:rFonts w:ascii="Arial" w:hAnsi="Arial" w:cs="Arial"/>
          <w:sz w:val="20"/>
          <w:szCs w:val="20"/>
        </w:rPr>
        <w:t>75%</w:t>
      </w:r>
      <w:r w:rsidRPr="00C15601">
        <w:rPr>
          <w:rFonts w:ascii="Arial" w:hAnsi="Arial" w:cs="Arial"/>
          <w:spacing w:val="-7"/>
          <w:sz w:val="20"/>
          <w:szCs w:val="20"/>
        </w:rPr>
        <w:t xml:space="preserve"> </w:t>
      </w:r>
      <w:r w:rsidRPr="00C15601">
        <w:rPr>
          <w:rFonts w:ascii="Arial" w:hAnsi="Arial" w:cs="Arial"/>
          <w:sz w:val="20"/>
          <w:szCs w:val="20"/>
        </w:rPr>
        <w:t>of</w:t>
      </w:r>
      <w:r w:rsidRPr="00C15601">
        <w:rPr>
          <w:rFonts w:ascii="Arial" w:hAnsi="Arial" w:cs="Arial"/>
          <w:spacing w:val="-5"/>
          <w:sz w:val="20"/>
          <w:szCs w:val="20"/>
        </w:rPr>
        <w:t xml:space="preserve"> </w:t>
      </w:r>
      <w:r w:rsidRPr="00C15601">
        <w:rPr>
          <w:rFonts w:ascii="Arial" w:hAnsi="Arial" w:cs="Arial"/>
          <w:sz w:val="20"/>
          <w:szCs w:val="20"/>
        </w:rPr>
        <w:t>the</w:t>
      </w:r>
      <w:r w:rsidRPr="00C15601">
        <w:rPr>
          <w:rFonts w:ascii="Arial" w:hAnsi="Arial" w:cs="Arial"/>
          <w:spacing w:val="-9"/>
          <w:sz w:val="20"/>
          <w:szCs w:val="20"/>
        </w:rPr>
        <w:t xml:space="preserve"> </w:t>
      </w:r>
      <w:r w:rsidRPr="00C15601">
        <w:rPr>
          <w:rFonts w:ascii="Arial" w:hAnsi="Arial" w:cs="Arial"/>
          <w:sz w:val="20"/>
          <w:szCs w:val="20"/>
        </w:rPr>
        <w:t>length</w:t>
      </w:r>
      <w:r w:rsidRPr="00C15601">
        <w:rPr>
          <w:rFonts w:ascii="Arial" w:hAnsi="Arial" w:cs="Arial"/>
          <w:spacing w:val="-7"/>
          <w:sz w:val="20"/>
          <w:szCs w:val="20"/>
        </w:rPr>
        <w:t xml:space="preserve"> </w:t>
      </w:r>
      <w:r w:rsidRPr="00C15601">
        <w:rPr>
          <w:rFonts w:ascii="Arial" w:hAnsi="Arial" w:cs="Arial"/>
          <w:sz w:val="20"/>
          <w:szCs w:val="20"/>
        </w:rPr>
        <w:t>and</w:t>
      </w:r>
      <w:r w:rsidRPr="00C15601">
        <w:rPr>
          <w:rFonts w:ascii="Arial" w:hAnsi="Arial" w:cs="Arial"/>
          <w:spacing w:val="-8"/>
          <w:sz w:val="20"/>
          <w:szCs w:val="20"/>
        </w:rPr>
        <w:t xml:space="preserve"> </w:t>
      </w:r>
      <w:r w:rsidRPr="00C15601">
        <w:rPr>
          <w:rFonts w:ascii="Arial" w:hAnsi="Arial" w:cs="Arial"/>
          <w:sz w:val="20"/>
          <w:szCs w:val="20"/>
        </w:rPr>
        <w:t>90%</w:t>
      </w:r>
      <w:r w:rsidRPr="00C15601">
        <w:rPr>
          <w:rFonts w:ascii="Arial" w:hAnsi="Arial" w:cs="Arial"/>
          <w:spacing w:val="-2"/>
          <w:sz w:val="20"/>
          <w:szCs w:val="20"/>
        </w:rPr>
        <w:t xml:space="preserve"> </w:t>
      </w:r>
      <w:r w:rsidRPr="00C15601">
        <w:rPr>
          <w:rFonts w:ascii="Arial" w:hAnsi="Arial" w:cs="Arial"/>
          <w:sz w:val="20"/>
          <w:szCs w:val="20"/>
        </w:rPr>
        <w:t>of the</w:t>
      </w:r>
      <w:r w:rsidRPr="00C15601">
        <w:rPr>
          <w:rFonts w:ascii="Arial" w:hAnsi="Arial" w:cs="Arial"/>
          <w:spacing w:val="-9"/>
          <w:sz w:val="20"/>
          <w:szCs w:val="20"/>
        </w:rPr>
        <w:t xml:space="preserve"> </w:t>
      </w:r>
      <w:r w:rsidRPr="00C15601">
        <w:rPr>
          <w:rFonts w:ascii="Arial" w:hAnsi="Arial" w:cs="Arial"/>
          <w:sz w:val="20"/>
          <w:szCs w:val="20"/>
        </w:rPr>
        <w:t>mucosal</w:t>
      </w:r>
      <w:r w:rsidRPr="00C15601">
        <w:rPr>
          <w:rFonts w:ascii="Arial" w:hAnsi="Arial" w:cs="Arial"/>
          <w:spacing w:val="-8"/>
          <w:sz w:val="20"/>
          <w:szCs w:val="20"/>
        </w:rPr>
        <w:t xml:space="preserve"> </w:t>
      </w:r>
      <w:r w:rsidRPr="00C15601">
        <w:rPr>
          <w:rFonts w:ascii="Arial" w:hAnsi="Arial" w:cs="Arial"/>
          <w:sz w:val="20"/>
          <w:szCs w:val="20"/>
        </w:rPr>
        <w:t>surface</w:t>
      </w:r>
      <w:r w:rsidRPr="00C15601">
        <w:rPr>
          <w:rFonts w:ascii="Arial" w:hAnsi="Arial" w:cs="Arial"/>
          <w:spacing w:val="-13"/>
          <w:sz w:val="20"/>
          <w:szCs w:val="20"/>
        </w:rPr>
        <w:t xml:space="preserve"> </w:t>
      </w:r>
      <w:r w:rsidRPr="00C15601">
        <w:rPr>
          <w:rFonts w:ascii="Arial" w:hAnsi="Arial" w:cs="Arial"/>
          <w:sz w:val="20"/>
          <w:szCs w:val="20"/>
        </w:rPr>
        <w:t>area</w:t>
      </w:r>
      <w:r w:rsidRPr="00C15601">
        <w:rPr>
          <w:rFonts w:ascii="Arial" w:hAnsi="Arial" w:cs="Arial"/>
          <w:spacing w:val="-3"/>
          <w:sz w:val="20"/>
          <w:szCs w:val="20"/>
        </w:rPr>
        <w:t xml:space="preserve"> </w:t>
      </w:r>
      <w:r w:rsidRPr="00C15601">
        <w:rPr>
          <w:rFonts w:ascii="Arial" w:hAnsi="Arial" w:cs="Arial"/>
          <w:sz w:val="20"/>
          <w:szCs w:val="20"/>
        </w:rPr>
        <w:t>of</w:t>
      </w:r>
      <w:r w:rsidRPr="00C15601">
        <w:rPr>
          <w:rFonts w:ascii="Arial" w:hAnsi="Arial" w:cs="Arial"/>
          <w:spacing w:val="-5"/>
          <w:sz w:val="20"/>
          <w:szCs w:val="20"/>
        </w:rPr>
        <w:t xml:space="preserve"> </w:t>
      </w:r>
      <w:r w:rsidRPr="00C15601">
        <w:rPr>
          <w:rFonts w:ascii="Arial" w:hAnsi="Arial" w:cs="Arial"/>
          <w:sz w:val="20"/>
          <w:szCs w:val="20"/>
        </w:rPr>
        <w:t>the</w:t>
      </w:r>
      <w:r w:rsidRPr="00C15601">
        <w:rPr>
          <w:rFonts w:ascii="Arial" w:hAnsi="Arial" w:cs="Arial"/>
          <w:spacing w:val="-9"/>
          <w:sz w:val="20"/>
          <w:szCs w:val="20"/>
        </w:rPr>
        <w:t xml:space="preserve"> </w:t>
      </w:r>
      <w:r w:rsidRPr="00C15601">
        <w:rPr>
          <w:rFonts w:ascii="Arial" w:hAnsi="Arial" w:cs="Arial"/>
          <w:sz w:val="20"/>
          <w:szCs w:val="20"/>
        </w:rPr>
        <w:t>gastrointestinal</w:t>
      </w:r>
      <w:r w:rsidRPr="00C15601">
        <w:rPr>
          <w:rFonts w:ascii="Arial" w:hAnsi="Arial" w:cs="Arial"/>
          <w:spacing w:val="-8"/>
          <w:sz w:val="20"/>
          <w:szCs w:val="20"/>
        </w:rPr>
        <w:t xml:space="preserve"> </w:t>
      </w:r>
      <w:r w:rsidRPr="00C15601">
        <w:rPr>
          <w:rFonts w:ascii="Arial" w:hAnsi="Arial" w:cs="Arial"/>
          <w:sz w:val="20"/>
          <w:szCs w:val="20"/>
        </w:rPr>
        <w:t>tract,</w:t>
      </w:r>
      <w:r w:rsidRPr="00C15601">
        <w:rPr>
          <w:rFonts w:ascii="Arial" w:hAnsi="Arial" w:cs="Arial"/>
          <w:spacing w:val="-4"/>
          <w:sz w:val="20"/>
          <w:szCs w:val="20"/>
        </w:rPr>
        <w:t xml:space="preserve"> </w:t>
      </w:r>
      <w:r w:rsidRPr="00C15601">
        <w:rPr>
          <w:rFonts w:ascii="Arial" w:hAnsi="Arial" w:cs="Arial"/>
          <w:spacing w:val="-3"/>
          <w:sz w:val="20"/>
          <w:szCs w:val="20"/>
        </w:rPr>
        <w:t xml:space="preserve">fewer </w:t>
      </w:r>
      <w:r w:rsidRPr="00C15601">
        <w:rPr>
          <w:rFonts w:ascii="Arial" w:hAnsi="Arial" w:cs="Arial"/>
          <w:sz w:val="20"/>
          <w:szCs w:val="20"/>
        </w:rPr>
        <w:t>than</w:t>
      </w:r>
      <w:r w:rsidRPr="00C15601">
        <w:rPr>
          <w:rFonts w:ascii="Arial" w:hAnsi="Arial" w:cs="Arial"/>
          <w:spacing w:val="-8"/>
          <w:sz w:val="20"/>
          <w:szCs w:val="20"/>
        </w:rPr>
        <w:t xml:space="preserve"> </w:t>
      </w:r>
      <w:r w:rsidRPr="00C15601">
        <w:rPr>
          <w:rFonts w:ascii="Arial" w:hAnsi="Arial" w:cs="Arial"/>
          <w:sz w:val="20"/>
          <w:szCs w:val="20"/>
        </w:rPr>
        <w:t>3%</w:t>
      </w:r>
      <w:r w:rsidRPr="00C15601">
        <w:rPr>
          <w:rFonts w:ascii="Arial" w:hAnsi="Arial" w:cs="Arial"/>
          <w:spacing w:val="-7"/>
          <w:sz w:val="20"/>
          <w:szCs w:val="20"/>
        </w:rPr>
        <w:t xml:space="preserve"> </w:t>
      </w:r>
      <w:r w:rsidRPr="00C15601">
        <w:rPr>
          <w:rFonts w:ascii="Arial" w:hAnsi="Arial" w:cs="Arial"/>
          <w:sz w:val="20"/>
          <w:szCs w:val="20"/>
        </w:rPr>
        <w:t>of</w:t>
      </w:r>
      <w:r w:rsidRPr="00C15601">
        <w:rPr>
          <w:rFonts w:ascii="Arial" w:hAnsi="Arial" w:cs="Arial"/>
          <w:spacing w:val="-4"/>
          <w:sz w:val="20"/>
          <w:szCs w:val="20"/>
        </w:rPr>
        <w:t xml:space="preserve"> </w:t>
      </w:r>
      <w:r w:rsidRPr="00C15601">
        <w:rPr>
          <w:rFonts w:ascii="Arial" w:hAnsi="Arial" w:cs="Arial"/>
          <w:sz w:val="20"/>
          <w:szCs w:val="20"/>
        </w:rPr>
        <w:t>gastrointestinal</w:t>
      </w:r>
      <w:r w:rsidRPr="00C15601">
        <w:rPr>
          <w:rFonts w:ascii="Arial" w:hAnsi="Arial" w:cs="Arial"/>
          <w:spacing w:val="-8"/>
          <w:sz w:val="20"/>
          <w:szCs w:val="20"/>
        </w:rPr>
        <w:t xml:space="preserve"> </w:t>
      </w:r>
      <w:r w:rsidRPr="00C15601">
        <w:rPr>
          <w:rFonts w:ascii="Arial" w:hAnsi="Arial" w:cs="Arial"/>
          <w:sz w:val="20"/>
          <w:szCs w:val="20"/>
        </w:rPr>
        <w:t>malignancies</w:t>
      </w:r>
      <w:r w:rsidRPr="00C15601">
        <w:rPr>
          <w:rFonts w:ascii="Arial" w:hAnsi="Arial" w:cs="Arial"/>
          <w:spacing w:val="-10"/>
          <w:sz w:val="20"/>
          <w:szCs w:val="20"/>
        </w:rPr>
        <w:t xml:space="preserve"> </w:t>
      </w:r>
      <w:r w:rsidRPr="00C15601">
        <w:rPr>
          <w:rFonts w:ascii="Arial" w:hAnsi="Arial" w:cs="Arial"/>
          <w:sz w:val="20"/>
          <w:szCs w:val="20"/>
        </w:rPr>
        <w:t>arise</w:t>
      </w:r>
      <w:r w:rsidRPr="00C15601">
        <w:rPr>
          <w:rFonts w:ascii="Arial" w:hAnsi="Arial" w:cs="Arial"/>
          <w:spacing w:val="-8"/>
          <w:sz w:val="20"/>
          <w:szCs w:val="20"/>
        </w:rPr>
        <w:t xml:space="preserve"> </w:t>
      </w:r>
      <w:r w:rsidRPr="00C15601">
        <w:rPr>
          <w:rFonts w:ascii="Arial" w:hAnsi="Arial" w:cs="Arial"/>
          <w:sz w:val="20"/>
          <w:szCs w:val="20"/>
        </w:rPr>
        <w:t>in</w:t>
      </w:r>
      <w:r w:rsidRPr="00C15601">
        <w:rPr>
          <w:rFonts w:ascii="Arial" w:hAnsi="Arial" w:cs="Arial"/>
          <w:spacing w:val="-7"/>
          <w:sz w:val="20"/>
          <w:szCs w:val="20"/>
        </w:rPr>
        <w:t xml:space="preserve"> </w:t>
      </w:r>
      <w:r w:rsidRPr="00C15601">
        <w:rPr>
          <w:rFonts w:ascii="Arial" w:hAnsi="Arial" w:cs="Arial"/>
          <w:sz w:val="20"/>
          <w:szCs w:val="20"/>
        </w:rPr>
        <w:t>this</w:t>
      </w:r>
      <w:r w:rsidRPr="00C15601">
        <w:rPr>
          <w:rFonts w:ascii="Arial" w:hAnsi="Arial" w:cs="Arial"/>
          <w:spacing w:val="-6"/>
          <w:sz w:val="20"/>
          <w:szCs w:val="20"/>
        </w:rPr>
        <w:t xml:space="preserve"> </w:t>
      </w:r>
      <w:r w:rsidRPr="00C15601">
        <w:rPr>
          <w:rFonts w:ascii="Arial" w:hAnsi="Arial" w:cs="Arial"/>
          <w:spacing w:val="-3"/>
          <w:sz w:val="20"/>
          <w:szCs w:val="20"/>
        </w:rPr>
        <w:t>organ</w:t>
      </w:r>
      <w:r w:rsidRPr="00C15601">
        <w:rPr>
          <w:rFonts w:ascii="Arial" w:hAnsi="Arial" w:cs="Arial"/>
          <w:sz w:val="20"/>
          <w:szCs w:val="20"/>
        </w:rPr>
        <w:t xml:space="preserve">. Small bowel adenoma is very rare disease and most common location in duodenum. Ileal adenoma is very rare disease. As in the colon, small bowel adenomas are histologically classified as tubular, tubulovillous, or villous. </w:t>
      </w:r>
      <w:r w:rsidRPr="00C15601">
        <w:rPr>
          <w:rFonts w:ascii="Arial" w:hAnsi="Arial" w:cs="Arial"/>
          <w:b/>
          <w:bCs/>
          <w:sz w:val="20"/>
          <w:szCs w:val="20"/>
        </w:rPr>
        <w:t xml:space="preserve">Case: </w:t>
      </w:r>
      <w:r w:rsidRPr="00C15601">
        <w:rPr>
          <w:rFonts w:ascii="Arial" w:hAnsi="Arial" w:cs="Arial"/>
          <w:sz w:val="20"/>
          <w:szCs w:val="20"/>
        </w:rPr>
        <w:t>A 42-year-old male presented to the emergency department with complaints of severe abdominal pain, vomiting, and abdominal distension for four days. He reported</w:t>
      </w:r>
      <w:r w:rsidRPr="00C15601">
        <w:rPr>
          <w:rFonts w:ascii="Arial" w:hAnsi="Arial" w:cs="Arial"/>
          <w:spacing w:val="-5"/>
          <w:sz w:val="20"/>
          <w:szCs w:val="20"/>
        </w:rPr>
        <w:t xml:space="preserve"> </w:t>
      </w:r>
      <w:r w:rsidRPr="00C15601">
        <w:rPr>
          <w:rFonts w:ascii="Arial" w:hAnsi="Arial" w:cs="Arial"/>
          <w:sz w:val="20"/>
          <w:szCs w:val="20"/>
        </w:rPr>
        <w:t>not</w:t>
      </w:r>
      <w:r w:rsidRPr="00C15601">
        <w:rPr>
          <w:rFonts w:ascii="Arial" w:hAnsi="Arial" w:cs="Arial"/>
          <w:spacing w:val="-4"/>
          <w:sz w:val="20"/>
          <w:szCs w:val="20"/>
        </w:rPr>
        <w:t xml:space="preserve"> </w:t>
      </w:r>
      <w:r w:rsidRPr="00C15601">
        <w:rPr>
          <w:rFonts w:ascii="Arial" w:hAnsi="Arial" w:cs="Arial"/>
          <w:sz w:val="20"/>
          <w:szCs w:val="20"/>
        </w:rPr>
        <w:t>passing</w:t>
      </w:r>
      <w:r w:rsidRPr="00C15601">
        <w:rPr>
          <w:rFonts w:ascii="Arial" w:hAnsi="Arial" w:cs="Arial"/>
          <w:spacing w:val="-7"/>
          <w:sz w:val="20"/>
          <w:szCs w:val="20"/>
        </w:rPr>
        <w:t xml:space="preserve"> </w:t>
      </w:r>
      <w:r w:rsidRPr="00C15601">
        <w:rPr>
          <w:rFonts w:ascii="Arial" w:hAnsi="Arial" w:cs="Arial"/>
          <w:sz w:val="20"/>
          <w:szCs w:val="20"/>
        </w:rPr>
        <w:t>stools</w:t>
      </w:r>
      <w:r w:rsidRPr="00C15601">
        <w:rPr>
          <w:rFonts w:ascii="Arial" w:hAnsi="Arial" w:cs="Arial"/>
          <w:spacing w:val="-8"/>
          <w:sz w:val="20"/>
          <w:szCs w:val="20"/>
        </w:rPr>
        <w:t xml:space="preserve"> </w:t>
      </w:r>
      <w:r w:rsidRPr="00C15601">
        <w:rPr>
          <w:rFonts w:ascii="Arial" w:hAnsi="Arial" w:cs="Arial"/>
          <w:sz w:val="20"/>
          <w:szCs w:val="20"/>
        </w:rPr>
        <w:t>for</w:t>
      </w:r>
      <w:r w:rsidRPr="00C15601">
        <w:rPr>
          <w:rFonts w:ascii="Arial" w:hAnsi="Arial" w:cs="Arial"/>
          <w:spacing w:val="-5"/>
          <w:sz w:val="20"/>
          <w:szCs w:val="20"/>
        </w:rPr>
        <w:t xml:space="preserve"> </w:t>
      </w:r>
      <w:r w:rsidRPr="00C15601">
        <w:rPr>
          <w:rFonts w:ascii="Arial" w:hAnsi="Arial" w:cs="Arial"/>
          <w:sz w:val="20"/>
          <w:szCs w:val="20"/>
        </w:rPr>
        <w:t>three</w:t>
      </w:r>
      <w:r w:rsidRPr="00C15601">
        <w:rPr>
          <w:rFonts w:ascii="Arial" w:hAnsi="Arial" w:cs="Arial"/>
          <w:spacing w:val="-6"/>
          <w:sz w:val="20"/>
          <w:szCs w:val="20"/>
        </w:rPr>
        <w:t xml:space="preserve"> </w:t>
      </w:r>
      <w:r w:rsidRPr="00C15601">
        <w:rPr>
          <w:rFonts w:ascii="Arial" w:hAnsi="Arial" w:cs="Arial"/>
          <w:sz w:val="20"/>
          <w:szCs w:val="20"/>
        </w:rPr>
        <w:t>days.</w:t>
      </w:r>
      <w:r w:rsidR="002C3DDA" w:rsidRPr="00C15601">
        <w:rPr>
          <w:rFonts w:ascii="Arial" w:hAnsi="Arial" w:cs="Arial"/>
          <w:spacing w:val="-7"/>
          <w:sz w:val="20"/>
          <w:szCs w:val="20"/>
        </w:rPr>
        <w:t xml:space="preserve"> </w:t>
      </w:r>
      <w:r w:rsidRPr="00C15601">
        <w:rPr>
          <w:rFonts w:ascii="Arial" w:hAnsi="Arial" w:cs="Arial"/>
          <w:sz w:val="20"/>
          <w:szCs w:val="20"/>
        </w:rPr>
        <w:t xml:space="preserve">Blood examination: </w:t>
      </w:r>
      <w:r w:rsidRPr="00C15601">
        <w:rPr>
          <w:rFonts w:ascii="Arial" w:hAnsi="Arial" w:cs="Arial"/>
          <w:spacing w:val="-3"/>
          <w:sz w:val="20"/>
          <w:szCs w:val="20"/>
        </w:rPr>
        <w:t xml:space="preserve">CRP </w:t>
      </w:r>
      <w:r w:rsidRPr="00C15601">
        <w:rPr>
          <w:rFonts w:ascii="Arial" w:hAnsi="Arial" w:cs="Arial"/>
          <w:sz w:val="20"/>
          <w:szCs w:val="20"/>
        </w:rPr>
        <w:t xml:space="preserve">was 38.60mg/l. An ultrasound of the abdomen was done which showed dilated hyper-peristaltic small bowel loops of maximum caliber 3.0 cm and wall tickness. Plain x-ray of the abdomen: Multiple air-fluid level in the small bowel loops. We are the patient was decided for an emergency exploratory laparotomy. Intraoperatively, there were no bowel adhesions. A 3×1.5 cm well-defined firm intraluminal mass was palpable in the ileum about 15 cm proximal to the ileocaecal junction. The bowel loops proximal to the mass were dilated and the loops distal to it were collapsed. </w:t>
      </w:r>
      <w:r w:rsidRPr="00C15601">
        <w:rPr>
          <w:rFonts w:ascii="Arial" w:hAnsi="Arial" w:cs="Arial"/>
          <w:b/>
          <w:bCs/>
          <w:sz w:val="20"/>
          <w:szCs w:val="20"/>
        </w:rPr>
        <w:t>Histology</w:t>
      </w:r>
      <w:r w:rsidRPr="00C15601">
        <w:rPr>
          <w:rFonts w:ascii="Arial" w:hAnsi="Arial" w:cs="Arial"/>
          <w:sz w:val="20"/>
          <w:szCs w:val="20"/>
        </w:rPr>
        <w:t>:Small</w:t>
      </w:r>
      <w:r w:rsidRPr="00C15601">
        <w:rPr>
          <w:rFonts w:ascii="Arial" w:hAnsi="Arial" w:cs="Arial"/>
          <w:spacing w:val="-4"/>
          <w:sz w:val="20"/>
          <w:szCs w:val="20"/>
        </w:rPr>
        <w:t xml:space="preserve"> </w:t>
      </w:r>
      <w:r w:rsidRPr="00C15601">
        <w:rPr>
          <w:rFonts w:ascii="Arial" w:hAnsi="Arial" w:cs="Arial"/>
          <w:sz w:val="20"/>
          <w:szCs w:val="20"/>
        </w:rPr>
        <w:t>bowel:</w:t>
      </w:r>
      <w:r w:rsidRPr="00C15601">
        <w:rPr>
          <w:rFonts w:ascii="Arial" w:hAnsi="Arial" w:cs="Arial"/>
          <w:spacing w:val="-3"/>
          <w:sz w:val="20"/>
          <w:szCs w:val="20"/>
        </w:rPr>
        <w:t xml:space="preserve"> </w:t>
      </w:r>
      <w:r w:rsidRPr="00C15601">
        <w:rPr>
          <w:rFonts w:ascii="Arial" w:hAnsi="Arial" w:cs="Arial"/>
          <w:sz w:val="20"/>
          <w:szCs w:val="20"/>
        </w:rPr>
        <w:t>Tubulo-villous</w:t>
      </w:r>
      <w:r w:rsidRPr="00C15601">
        <w:rPr>
          <w:rFonts w:ascii="Arial" w:hAnsi="Arial" w:cs="Arial"/>
          <w:spacing w:val="-1"/>
          <w:sz w:val="20"/>
          <w:szCs w:val="20"/>
        </w:rPr>
        <w:t xml:space="preserve"> </w:t>
      </w:r>
      <w:r w:rsidRPr="00C15601">
        <w:rPr>
          <w:rFonts w:ascii="Arial" w:hAnsi="Arial" w:cs="Arial"/>
          <w:sz w:val="20"/>
          <w:szCs w:val="20"/>
        </w:rPr>
        <w:t>adenoma</w:t>
      </w:r>
      <w:r w:rsidRPr="00C15601">
        <w:rPr>
          <w:rFonts w:ascii="Arial" w:hAnsi="Arial" w:cs="Arial"/>
          <w:spacing w:val="-5"/>
          <w:sz w:val="20"/>
          <w:szCs w:val="20"/>
        </w:rPr>
        <w:t xml:space="preserve"> </w:t>
      </w:r>
      <w:r w:rsidRPr="00C15601">
        <w:rPr>
          <w:rFonts w:ascii="Arial" w:hAnsi="Arial" w:cs="Arial"/>
          <w:sz w:val="20"/>
          <w:szCs w:val="20"/>
        </w:rPr>
        <w:t>with</w:t>
      </w:r>
      <w:r w:rsidRPr="00C15601">
        <w:rPr>
          <w:rFonts w:ascii="Arial" w:hAnsi="Arial" w:cs="Arial"/>
          <w:spacing w:val="-3"/>
          <w:sz w:val="20"/>
          <w:szCs w:val="20"/>
        </w:rPr>
        <w:t xml:space="preserve"> </w:t>
      </w:r>
      <w:r w:rsidRPr="00C15601">
        <w:rPr>
          <w:rFonts w:ascii="Arial" w:hAnsi="Arial" w:cs="Arial"/>
          <w:sz w:val="20"/>
          <w:szCs w:val="20"/>
        </w:rPr>
        <w:t>low</w:t>
      </w:r>
      <w:r w:rsidRPr="00C15601">
        <w:rPr>
          <w:rFonts w:ascii="Arial" w:hAnsi="Arial" w:cs="Arial"/>
          <w:spacing w:val="-4"/>
          <w:sz w:val="20"/>
          <w:szCs w:val="20"/>
        </w:rPr>
        <w:t xml:space="preserve"> </w:t>
      </w:r>
      <w:r w:rsidRPr="00C15601">
        <w:rPr>
          <w:rFonts w:ascii="Arial" w:hAnsi="Arial" w:cs="Arial"/>
          <w:sz w:val="20"/>
          <w:szCs w:val="20"/>
        </w:rPr>
        <w:t>grade</w:t>
      </w:r>
      <w:r w:rsidRPr="00C15601">
        <w:rPr>
          <w:rFonts w:ascii="Arial" w:hAnsi="Arial" w:cs="Arial"/>
          <w:spacing w:val="-5"/>
          <w:sz w:val="20"/>
          <w:szCs w:val="20"/>
        </w:rPr>
        <w:t xml:space="preserve"> </w:t>
      </w:r>
      <w:r w:rsidRPr="00C15601">
        <w:rPr>
          <w:rFonts w:ascii="Arial" w:hAnsi="Arial" w:cs="Arial"/>
          <w:sz w:val="20"/>
          <w:szCs w:val="20"/>
        </w:rPr>
        <w:t>dysplasia.</w:t>
      </w:r>
      <w:r w:rsidRPr="00C15601">
        <w:rPr>
          <w:rFonts w:ascii="Arial" w:hAnsi="Arial" w:cs="Arial"/>
          <w:spacing w:val="-1"/>
          <w:sz w:val="20"/>
          <w:szCs w:val="20"/>
        </w:rPr>
        <w:t xml:space="preserve"> </w:t>
      </w:r>
      <w:r w:rsidRPr="00C15601">
        <w:rPr>
          <w:rFonts w:ascii="Arial" w:hAnsi="Arial" w:cs="Arial"/>
          <w:sz w:val="20"/>
          <w:szCs w:val="20"/>
        </w:rPr>
        <w:t>Perifocal</w:t>
      </w:r>
      <w:r w:rsidRPr="00C15601">
        <w:rPr>
          <w:rFonts w:ascii="Arial" w:hAnsi="Arial" w:cs="Arial"/>
          <w:spacing w:val="-3"/>
          <w:sz w:val="20"/>
          <w:szCs w:val="20"/>
        </w:rPr>
        <w:t xml:space="preserve"> </w:t>
      </w:r>
      <w:r w:rsidRPr="00C15601">
        <w:rPr>
          <w:rFonts w:ascii="Arial" w:hAnsi="Arial" w:cs="Arial"/>
          <w:sz w:val="20"/>
          <w:szCs w:val="20"/>
        </w:rPr>
        <w:t>ulcerative</w:t>
      </w:r>
      <w:r w:rsidRPr="00C15601">
        <w:rPr>
          <w:rFonts w:ascii="Arial" w:hAnsi="Arial" w:cs="Arial"/>
          <w:spacing w:val="-5"/>
          <w:sz w:val="20"/>
          <w:szCs w:val="20"/>
        </w:rPr>
        <w:t xml:space="preserve"> </w:t>
      </w:r>
      <w:r w:rsidRPr="00C15601">
        <w:rPr>
          <w:rFonts w:ascii="Arial" w:hAnsi="Arial" w:cs="Arial"/>
          <w:sz w:val="20"/>
          <w:szCs w:val="20"/>
        </w:rPr>
        <w:t>ileitis, hemodynamic disorders.</w:t>
      </w:r>
      <w:r w:rsidRPr="00C15601">
        <w:rPr>
          <w:rFonts w:ascii="Arial" w:hAnsi="Arial" w:cs="Arial"/>
          <w:b/>
          <w:bCs/>
          <w:sz w:val="20"/>
          <w:szCs w:val="20"/>
        </w:rPr>
        <w:t xml:space="preserve"> Discussion: </w:t>
      </w:r>
      <w:r w:rsidRPr="00C15601">
        <w:rPr>
          <w:rFonts w:ascii="Arial" w:hAnsi="Arial" w:cs="Arial"/>
          <w:sz w:val="20"/>
          <w:szCs w:val="20"/>
        </w:rPr>
        <w:t xml:space="preserve">Small bowel adenoma was first described by Perry in 1893 and was named as duodenal papilloma. The adenoma is usually located in the colon. </w:t>
      </w:r>
      <w:r w:rsidRPr="00C15601">
        <w:rPr>
          <w:rFonts w:ascii="Arial" w:hAnsi="Arial" w:cs="Arial"/>
          <w:sz w:val="20"/>
          <w:szCs w:val="20"/>
        </w:rPr>
        <w:t xml:space="preserve">However, during endoscopic examination, 0.4% occur in the duodenum. </w:t>
      </w:r>
      <w:r w:rsidRPr="00C15601">
        <w:rPr>
          <w:rFonts w:ascii="Arial" w:hAnsi="Arial" w:cs="Arial"/>
          <w:color w:val="090904"/>
          <w:spacing w:val="-3"/>
          <w:sz w:val="20"/>
          <w:szCs w:val="20"/>
        </w:rPr>
        <w:t xml:space="preserve">They </w:t>
      </w:r>
      <w:r w:rsidRPr="00C15601">
        <w:rPr>
          <w:rFonts w:ascii="Arial" w:hAnsi="Arial" w:cs="Arial"/>
          <w:color w:val="090904"/>
          <w:sz w:val="20"/>
          <w:szCs w:val="20"/>
        </w:rPr>
        <w:t xml:space="preserve">make up &lt;10% of all duodenal polyps, although they are most commonly located in the second part of </w:t>
      </w:r>
      <w:r w:rsidRPr="00C15601">
        <w:rPr>
          <w:rFonts w:ascii="Arial" w:hAnsi="Arial" w:cs="Arial"/>
          <w:color w:val="090904"/>
          <w:spacing w:val="-3"/>
          <w:sz w:val="20"/>
          <w:szCs w:val="20"/>
        </w:rPr>
        <w:t xml:space="preserve">the </w:t>
      </w:r>
      <w:r w:rsidRPr="00C15601">
        <w:rPr>
          <w:rFonts w:ascii="Arial" w:hAnsi="Arial" w:cs="Arial"/>
          <w:color w:val="090904"/>
          <w:sz w:val="20"/>
          <w:szCs w:val="20"/>
        </w:rPr>
        <w:t>duodenum, particularly in the vicinity of the ampulla of Vater, which is the site of 80% of all small bowel</w:t>
      </w:r>
      <w:r w:rsidRPr="00C15601">
        <w:rPr>
          <w:rFonts w:ascii="Arial" w:hAnsi="Arial" w:cs="Arial"/>
          <w:color w:val="090904"/>
          <w:spacing w:val="-28"/>
          <w:sz w:val="20"/>
          <w:szCs w:val="20"/>
        </w:rPr>
        <w:t xml:space="preserve"> </w:t>
      </w:r>
      <w:r w:rsidRPr="00C15601">
        <w:rPr>
          <w:rFonts w:ascii="Arial" w:hAnsi="Arial" w:cs="Arial"/>
          <w:color w:val="090904"/>
          <w:sz w:val="20"/>
          <w:szCs w:val="20"/>
        </w:rPr>
        <w:t xml:space="preserve">adenomas. </w:t>
      </w:r>
      <w:r w:rsidRPr="00C15601">
        <w:rPr>
          <w:rFonts w:ascii="Arial" w:hAnsi="Arial" w:cs="Arial"/>
          <w:sz w:val="20"/>
          <w:szCs w:val="20"/>
        </w:rPr>
        <w:t>Surgical series of resected ampullary</w:t>
      </w:r>
      <w:r w:rsidRPr="00C15601">
        <w:rPr>
          <w:rFonts w:ascii="Arial" w:hAnsi="Arial" w:cs="Arial"/>
          <w:spacing w:val="-13"/>
          <w:sz w:val="20"/>
          <w:szCs w:val="20"/>
        </w:rPr>
        <w:t xml:space="preserve"> </w:t>
      </w:r>
      <w:r w:rsidRPr="00C15601">
        <w:rPr>
          <w:rFonts w:ascii="Arial" w:hAnsi="Arial" w:cs="Arial"/>
          <w:sz w:val="20"/>
          <w:szCs w:val="20"/>
        </w:rPr>
        <w:t>adenoma</w:t>
      </w:r>
      <w:r w:rsidRPr="00C15601">
        <w:rPr>
          <w:rFonts w:ascii="Arial" w:hAnsi="Arial" w:cs="Arial"/>
          <w:spacing w:val="-8"/>
          <w:sz w:val="20"/>
          <w:szCs w:val="20"/>
        </w:rPr>
        <w:t xml:space="preserve"> </w:t>
      </w:r>
      <w:r w:rsidRPr="00C15601">
        <w:rPr>
          <w:rFonts w:ascii="Arial" w:hAnsi="Arial" w:cs="Arial"/>
          <w:sz w:val="20"/>
          <w:szCs w:val="20"/>
        </w:rPr>
        <w:t>report</w:t>
      </w:r>
      <w:r w:rsidRPr="00C15601">
        <w:rPr>
          <w:rFonts w:ascii="Arial" w:hAnsi="Arial" w:cs="Arial"/>
          <w:spacing w:val="-13"/>
          <w:sz w:val="20"/>
          <w:szCs w:val="20"/>
        </w:rPr>
        <w:t xml:space="preserve"> </w:t>
      </w:r>
      <w:r w:rsidRPr="00C15601">
        <w:rPr>
          <w:rFonts w:ascii="Arial" w:hAnsi="Arial" w:cs="Arial"/>
          <w:sz w:val="20"/>
          <w:szCs w:val="20"/>
        </w:rPr>
        <w:t>in</w:t>
      </w:r>
      <w:r w:rsidRPr="00C15601">
        <w:rPr>
          <w:rFonts w:ascii="Arial" w:hAnsi="Arial" w:cs="Arial"/>
          <w:spacing w:val="-8"/>
          <w:sz w:val="20"/>
          <w:szCs w:val="20"/>
        </w:rPr>
        <w:t xml:space="preserve"> </w:t>
      </w:r>
      <w:r w:rsidRPr="00C15601">
        <w:rPr>
          <w:rFonts w:ascii="Arial" w:hAnsi="Arial" w:cs="Arial"/>
          <w:sz w:val="20"/>
          <w:szCs w:val="20"/>
        </w:rPr>
        <w:t>situ</w:t>
      </w:r>
      <w:r w:rsidRPr="00C15601">
        <w:rPr>
          <w:rFonts w:ascii="Arial" w:hAnsi="Arial" w:cs="Arial"/>
          <w:spacing w:val="-12"/>
          <w:sz w:val="20"/>
          <w:szCs w:val="20"/>
        </w:rPr>
        <w:t xml:space="preserve"> </w:t>
      </w:r>
      <w:r w:rsidRPr="00C15601">
        <w:rPr>
          <w:rFonts w:ascii="Arial" w:hAnsi="Arial" w:cs="Arial"/>
          <w:sz w:val="20"/>
          <w:szCs w:val="20"/>
        </w:rPr>
        <w:t>or</w:t>
      </w:r>
      <w:r w:rsidRPr="00C15601">
        <w:rPr>
          <w:rFonts w:ascii="Arial" w:hAnsi="Arial" w:cs="Arial"/>
          <w:spacing w:val="-9"/>
          <w:sz w:val="20"/>
          <w:szCs w:val="20"/>
        </w:rPr>
        <w:t xml:space="preserve"> </w:t>
      </w:r>
      <w:r w:rsidRPr="00C15601">
        <w:rPr>
          <w:rFonts w:ascii="Arial" w:hAnsi="Arial" w:cs="Arial"/>
          <w:sz w:val="20"/>
          <w:szCs w:val="20"/>
        </w:rPr>
        <w:t>frank</w:t>
      </w:r>
      <w:r w:rsidRPr="00C15601">
        <w:rPr>
          <w:rFonts w:ascii="Arial" w:hAnsi="Arial" w:cs="Arial"/>
          <w:spacing w:val="-9"/>
          <w:sz w:val="20"/>
          <w:szCs w:val="20"/>
        </w:rPr>
        <w:t xml:space="preserve"> </w:t>
      </w:r>
      <w:r w:rsidRPr="00C15601">
        <w:rPr>
          <w:rFonts w:ascii="Arial" w:hAnsi="Arial" w:cs="Arial"/>
          <w:sz w:val="20"/>
          <w:szCs w:val="20"/>
        </w:rPr>
        <w:t>adenocarcinoma in 34–40% of patients.</w:t>
      </w:r>
    </w:p>
    <w:p w14:paraId="302B5C1F" w14:textId="1A307CA7" w:rsidR="003C650C" w:rsidRPr="00C15601" w:rsidRDefault="005973B9" w:rsidP="00C15601">
      <w:pPr>
        <w:pStyle w:val="Heading3"/>
        <w:spacing w:before="74"/>
        <w:ind w:left="0"/>
      </w:pPr>
      <w:r w:rsidRPr="00C15601">
        <w:rPr>
          <w:color w:val="BF5A14"/>
        </w:rPr>
        <w:br/>
        <w:t>Recent Publications</w:t>
      </w:r>
    </w:p>
    <w:p w14:paraId="00C329E0" w14:textId="77777777" w:rsidR="003C650C" w:rsidRPr="00C15601" w:rsidRDefault="003C650C" w:rsidP="003C650C">
      <w:pPr>
        <w:pStyle w:val="ListParagraph"/>
        <w:numPr>
          <w:ilvl w:val="0"/>
          <w:numId w:val="4"/>
        </w:numPr>
        <w:tabs>
          <w:tab w:val="left" w:pos="501"/>
        </w:tabs>
        <w:autoSpaceDE w:val="0"/>
        <w:autoSpaceDN w:val="0"/>
        <w:spacing w:before="0" w:line="240" w:lineRule="auto"/>
        <w:ind w:right="132"/>
        <w:jc w:val="both"/>
        <w:rPr>
          <w:rFonts w:ascii="Arial" w:hAnsi="Arial" w:cs="Arial"/>
          <w:sz w:val="20"/>
          <w:szCs w:val="20"/>
        </w:rPr>
      </w:pPr>
      <w:r w:rsidRPr="00C15601">
        <w:rPr>
          <w:rFonts w:ascii="Arial" w:hAnsi="Arial" w:cs="Arial"/>
          <w:sz w:val="20"/>
          <w:szCs w:val="20"/>
        </w:rPr>
        <w:t>Sakorafas GH, Friess H, Dervenis CG. Villous tumors of the duodenum: biologic characters and clinical implications. Scand J Gastroenterol 2000;35(4):337– 344.</w:t>
      </w:r>
    </w:p>
    <w:p w14:paraId="5A2A256E" w14:textId="77777777" w:rsidR="003C650C" w:rsidRPr="00C15601" w:rsidRDefault="003C650C" w:rsidP="003C650C">
      <w:pPr>
        <w:pStyle w:val="ListParagraph"/>
        <w:numPr>
          <w:ilvl w:val="0"/>
          <w:numId w:val="4"/>
        </w:numPr>
        <w:tabs>
          <w:tab w:val="left" w:pos="501"/>
        </w:tabs>
        <w:autoSpaceDE w:val="0"/>
        <w:autoSpaceDN w:val="0"/>
        <w:spacing w:before="0" w:line="240" w:lineRule="auto"/>
        <w:ind w:right="131"/>
        <w:jc w:val="both"/>
        <w:rPr>
          <w:rFonts w:ascii="Arial" w:hAnsi="Arial" w:cs="Arial"/>
          <w:sz w:val="20"/>
          <w:szCs w:val="20"/>
        </w:rPr>
      </w:pPr>
      <w:r w:rsidRPr="00C15601">
        <w:rPr>
          <w:rFonts w:ascii="Arial" w:hAnsi="Arial" w:cs="Arial"/>
          <w:sz w:val="20"/>
          <w:szCs w:val="20"/>
        </w:rPr>
        <w:t>Church JM, McGannon E, Hull-Boiner S, et al. Gastroduodenal polyps in patients with familial adenomatous polyposis. Dis Colon Rectum 1992;35(12):1170–1173.</w:t>
      </w:r>
    </w:p>
    <w:p w14:paraId="1DEAC980" w14:textId="77777777" w:rsidR="003C650C" w:rsidRPr="00C15601" w:rsidRDefault="003C650C" w:rsidP="003C650C">
      <w:pPr>
        <w:pStyle w:val="ListParagraph"/>
        <w:numPr>
          <w:ilvl w:val="0"/>
          <w:numId w:val="4"/>
        </w:numPr>
        <w:tabs>
          <w:tab w:val="left" w:pos="501"/>
        </w:tabs>
        <w:autoSpaceDE w:val="0"/>
        <w:autoSpaceDN w:val="0"/>
        <w:spacing w:before="0" w:line="240" w:lineRule="auto"/>
        <w:ind w:right="132"/>
        <w:jc w:val="both"/>
        <w:rPr>
          <w:rFonts w:ascii="Arial" w:hAnsi="Arial" w:cs="Arial"/>
          <w:sz w:val="20"/>
          <w:szCs w:val="20"/>
        </w:rPr>
      </w:pPr>
      <w:r w:rsidRPr="00C15601">
        <w:rPr>
          <w:rFonts w:ascii="Arial" w:hAnsi="Arial" w:cs="Arial"/>
          <w:sz w:val="20"/>
          <w:szCs w:val="20"/>
        </w:rPr>
        <w:t xml:space="preserve">Hartenfels Ina M, Dukat A, Burg </w:t>
      </w:r>
      <w:r w:rsidRPr="00C15601">
        <w:rPr>
          <w:rFonts w:ascii="Arial" w:hAnsi="Arial" w:cs="Arial"/>
          <w:spacing w:val="-3"/>
          <w:sz w:val="20"/>
          <w:szCs w:val="20"/>
        </w:rPr>
        <w:t xml:space="preserve">J, </w:t>
      </w:r>
      <w:r w:rsidRPr="00C15601">
        <w:rPr>
          <w:rFonts w:ascii="Arial" w:hAnsi="Arial" w:cs="Arial"/>
          <w:sz w:val="20"/>
          <w:szCs w:val="20"/>
        </w:rPr>
        <w:t>Hansen M, Jung M: Adenomas of Vater's ampulla and of the duodenum. Presentation of diagnosis and therapy by endoscopic interventional and surgical methods. Surgeon. 2002, 73:235-240.</w:t>
      </w:r>
    </w:p>
    <w:p w14:paraId="5340FEF4" w14:textId="77777777" w:rsidR="003C650C" w:rsidRPr="00C15601" w:rsidRDefault="003C650C" w:rsidP="003C650C">
      <w:pPr>
        <w:pStyle w:val="ListParagraph"/>
        <w:numPr>
          <w:ilvl w:val="0"/>
          <w:numId w:val="4"/>
        </w:numPr>
        <w:tabs>
          <w:tab w:val="left" w:pos="501"/>
        </w:tabs>
        <w:autoSpaceDE w:val="0"/>
        <w:autoSpaceDN w:val="0"/>
        <w:spacing w:before="6" w:line="235" w:lineRule="auto"/>
        <w:ind w:right="131"/>
        <w:jc w:val="both"/>
        <w:rPr>
          <w:rFonts w:ascii="Arial" w:hAnsi="Arial" w:cs="Arial"/>
          <w:sz w:val="20"/>
          <w:szCs w:val="20"/>
        </w:rPr>
      </w:pPr>
      <w:r w:rsidRPr="00C15601">
        <w:rPr>
          <w:rFonts w:ascii="Arial" w:hAnsi="Arial" w:cs="Arial"/>
          <w:sz w:val="20"/>
          <w:szCs w:val="20"/>
        </w:rPr>
        <w:t>Pourmand</w:t>
      </w:r>
      <w:r w:rsidRPr="00C15601">
        <w:rPr>
          <w:rFonts w:ascii="Arial" w:hAnsi="Arial" w:cs="Arial"/>
          <w:spacing w:val="-9"/>
          <w:sz w:val="20"/>
          <w:szCs w:val="20"/>
        </w:rPr>
        <w:t xml:space="preserve"> </w:t>
      </w:r>
      <w:r w:rsidRPr="00C15601">
        <w:rPr>
          <w:rFonts w:ascii="Arial" w:hAnsi="Arial" w:cs="Arial"/>
          <w:sz w:val="20"/>
          <w:szCs w:val="20"/>
        </w:rPr>
        <w:t>K,</w:t>
      </w:r>
      <w:r w:rsidRPr="00C15601">
        <w:rPr>
          <w:rFonts w:ascii="Arial" w:hAnsi="Arial" w:cs="Arial"/>
          <w:spacing w:val="-6"/>
          <w:sz w:val="20"/>
          <w:szCs w:val="20"/>
        </w:rPr>
        <w:t xml:space="preserve"> </w:t>
      </w:r>
      <w:r w:rsidRPr="00C15601">
        <w:rPr>
          <w:rFonts w:ascii="Arial" w:hAnsi="Arial" w:cs="Arial"/>
          <w:sz w:val="20"/>
          <w:szCs w:val="20"/>
        </w:rPr>
        <w:t>Itzkowitz</w:t>
      </w:r>
      <w:r w:rsidRPr="00C15601">
        <w:rPr>
          <w:rFonts w:ascii="Arial" w:hAnsi="Arial" w:cs="Arial"/>
          <w:spacing w:val="-7"/>
          <w:sz w:val="20"/>
          <w:szCs w:val="20"/>
        </w:rPr>
        <w:t xml:space="preserve"> </w:t>
      </w:r>
      <w:r w:rsidRPr="00C15601">
        <w:rPr>
          <w:rFonts w:ascii="Arial" w:hAnsi="Arial" w:cs="Arial"/>
          <w:sz w:val="20"/>
          <w:szCs w:val="20"/>
        </w:rPr>
        <w:t>SH:</w:t>
      </w:r>
      <w:r w:rsidRPr="00C15601">
        <w:rPr>
          <w:rFonts w:ascii="Arial" w:hAnsi="Arial" w:cs="Arial"/>
          <w:spacing w:val="-12"/>
          <w:sz w:val="20"/>
          <w:szCs w:val="20"/>
        </w:rPr>
        <w:t xml:space="preserve"> </w:t>
      </w:r>
      <w:r w:rsidRPr="00C15601">
        <w:rPr>
          <w:rFonts w:ascii="Arial" w:hAnsi="Arial" w:cs="Arial"/>
          <w:sz w:val="20"/>
          <w:szCs w:val="20"/>
        </w:rPr>
        <w:t>Small</w:t>
      </w:r>
      <w:r w:rsidRPr="00C15601">
        <w:rPr>
          <w:rFonts w:ascii="Arial" w:hAnsi="Arial" w:cs="Arial"/>
          <w:spacing w:val="-9"/>
          <w:sz w:val="20"/>
          <w:szCs w:val="20"/>
        </w:rPr>
        <w:t xml:space="preserve"> </w:t>
      </w:r>
      <w:r w:rsidRPr="00C15601">
        <w:rPr>
          <w:rFonts w:ascii="Arial" w:hAnsi="Arial" w:cs="Arial"/>
          <w:sz w:val="20"/>
          <w:szCs w:val="20"/>
        </w:rPr>
        <w:t>bowel</w:t>
      </w:r>
      <w:r w:rsidRPr="00C15601">
        <w:rPr>
          <w:rFonts w:ascii="Arial" w:hAnsi="Arial" w:cs="Arial"/>
          <w:spacing w:val="-9"/>
          <w:sz w:val="20"/>
          <w:szCs w:val="20"/>
        </w:rPr>
        <w:t xml:space="preserve"> </w:t>
      </w:r>
      <w:r w:rsidRPr="00C15601">
        <w:rPr>
          <w:rFonts w:ascii="Arial" w:hAnsi="Arial" w:cs="Arial"/>
          <w:sz w:val="20"/>
          <w:szCs w:val="20"/>
        </w:rPr>
        <w:t>neoplasms</w:t>
      </w:r>
      <w:r w:rsidRPr="00C15601">
        <w:rPr>
          <w:rFonts w:ascii="Arial" w:hAnsi="Arial" w:cs="Arial"/>
          <w:spacing w:val="-7"/>
          <w:sz w:val="20"/>
          <w:szCs w:val="20"/>
        </w:rPr>
        <w:t xml:space="preserve"> </w:t>
      </w:r>
      <w:r w:rsidRPr="00C15601">
        <w:rPr>
          <w:rFonts w:ascii="Arial" w:hAnsi="Arial" w:cs="Arial"/>
          <w:sz w:val="20"/>
          <w:szCs w:val="20"/>
        </w:rPr>
        <w:t>and polyps. Curr Gastroenterol Rep. 2016,</w:t>
      </w:r>
      <w:r w:rsidRPr="00C15601">
        <w:rPr>
          <w:rFonts w:ascii="Arial" w:hAnsi="Arial" w:cs="Arial"/>
          <w:spacing w:val="-12"/>
          <w:sz w:val="20"/>
          <w:szCs w:val="20"/>
        </w:rPr>
        <w:t xml:space="preserve"> </w:t>
      </w:r>
      <w:r w:rsidRPr="00C15601">
        <w:rPr>
          <w:rFonts w:ascii="Arial" w:hAnsi="Arial" w:cs="Arial"/>
          <w:sz w:val="20"/>
          <w:szCs w:val="20"/>
        </w:rPr>
        <w:t>18:23-25.</w:t>
      </w:r>
    </w:p>
    <w:p w14:paraId="7F81AD1B" w14:textId="77777777" w:rsidR="003C650C" w:rsidRPr="00C15601" w:rsidRDefault="003C650C" w:rsidP="003C650C">
      <w:pPr>
        <w:pStyle w:val="ListParagraph"/>
        <w:numPr>
          <w:ilvl w:val="0"/>
          <w:numId w:val="4"/>
        </w:numPr>
        <w:tabs>
          <w:tab w:val="left" w:pos="501"/>
        </w:tabs>
        <w:autoSpaceDE w:val="0"/>
        <w:autoSpaceDN w:val="0"/>
        <w:spacing w:before="2" w:line="240" w:lineRule="auto"/>
        <w:ind w:right="132"/>
        <w:jc w:val="both"/>
        <w:rPr>
          <w:rFonts w:ascii="Arial" w:hAnsi="Arial" w:cs="Arial"/>
          <w:sz w:val="20"/>
          <w:szCs w:val="20"/>
        </w:rPr>
      </w:pPr>
      <w:r w:rsidRPr="00C15601">
        <w:rPr>
          <w:rFonts w:ascii="Arial" w:hAnsi="Arial" w:cs="Arial"/>
          <w:sz w:val="20"/>
          <w:szCs w:val="20"/>
        </w:rPr>
        <w:t>Komorowski RA, Cohen EB: Villous tumors of the duodenum: a clinicopathologic study. Cancer. 1981, 47:1377-1386.</w:t>
      </w:r>
    </w:p>
    <w:p w14:paraId="3116ABBB" w14:textId="77777777" w:rsidR="00AE3E37" w:rsidRPr="008756E6" w:rsidRDefault="00AE3E37" w:rsidP="008756E6">
      <w:pPr>
        <w:tabs>
          <w:tab w:val="left" w:pos="384"/>
        </w:tabs>
        <w:ind w:right="117"/>
      </w:pPr>
    </w:p>
    <w:p w14:paraId="4DC6E5B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268AECB"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5069CD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45D661" wp14:editId="7C3E2D7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440F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C6EDC1" w14:textId="3615FA9A" w:rsidR="00385545" w:rsidRPr="00385545" w:rsidRDefault="008756E6" w:rsidP="00385545">
      <w:pPr>
        <w:spacing w:before="92"/>
        <w:ind w:right="4234"/>
        <w:rPr>
          <w:rFonts w:ascii="Arial"/>
        </w:rPr>
      </w:pPr>
      <w:r>
        <w:rPr>
          <w:noProof/>
        </w:rPr>
        <w:t xml:space="preserve">              </w:t>
      </w:r>
      <w:r w:rsidR="002502EF">
        <w:rPr>
          <w:noProof/>
        </w:rPr>
        <w:drawing>
          <wp:inline distT="0" distB="0" distL="0" distR="0" wp14:anchorId="54762C12" wp14:editId="36332CA1">
            <wp:extent cx="805200" cy="774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0502" cy="78942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385545" w:rsidRPr="00385545">
        <w:rPr>
          <w:rFonts w:ascii="Arial" w:hAnsi="Arial" w:cs="Arial"/>
          <w:sz w:val="16"/>
          <w:szCs w:val="16"/>
        </w:rPr>
        <w:t xml:space="preserve"> </w:t>
      </w:r>
    </w:p>
    <w:p w14:paraId="249BB91E" w14:textId="77777777" w:rsidR="00385545" w:rsidRPr="00385545" w:rsidRDefault="00385545" w:rsidP="00385545">
      <w:pPr>
        <w:pStyle w:val="ListParagraph"/>
        <w:widowControl/>
        <w:numPr>
          <w:ilvl w:val="0"/>
          <w:numId w:val="5"/>
        </w:numPr>
        <w:spacing w:before="0" w:after="160" w:line="259" w:lineRule="auto"/>
        <w:contextualSpacing/>
        <w:jc w:val="left"/>
        <w:rPr>
          <w:rFonts w:ascii="Arial" w:hAnsi="Arial" w:cs="Arial"/>
          <w:sz w:val="18"/>
          <w:szCs w:val="18"/>
        </w:rPr>
      </w:pPr>
      <w:r w:rsidRPr="00385545">
        <w:rPr>
          <w:rFonts w:ascii="Arial" w:hAnsi="Arial" w:cs="Arial"/>
          <w:sz w:val="18"/>
          <w:szCs w:val="18"/>
        </w:rPr>
        <w:t>Bayanduuren Batsuuri was born in 1987 Ulaanbaatar city in Mongolia. He graduated from the Mongolian National University of Medical Sciences in 2011. in 2013-2015 Protected by General Surgery Residence. In 2018-2019, he completed a course in Abdominal Endoscopic Surgery. In 2019, he received a master's degree from the National University of Medical Sciences. He has published more than 10 articles and research papers in the National Journal of Surgery. Published 4 articles in foreign Journals in 2020.</w:t>
      </w:r>
      <w:r w:rsidRPr="00385545">
        <w:rPr>
          <w:rFonts w:ascii="Arial" w:hAnsi="Arial" w:cs="Arial"/>
          <w:sz w:val="18"/>
          <w:szCs w:val="18"/>
          <w:lang w:val="mn-MN"/>
        </w:rPr>
        <w:t xml:space="preserve"> He worked as a general practitioner at the Family </w:t>
      </w:r>
      <w:r w:rsidRPr="00385545">
        <w:rPr>
          <w:rFonts w:ascii="Arial" w:hAnsi="Arial" w:cs="Arial"/>
          <w:sz w:val="18"/>
          <w:szCs w:val="18"/>
        </w:rPr>
        <w:t>hospital</w:t>
      </w:r>
      <w:r w:rsidRPr="00385545">
        <w:rPr>
          <w:rFonts w:ascii="Arial" w:hAnsi="Arial" w:cs="Arial"/>
          <w:sz w:val="18"/>
          <w:szCs w:val="18"/>
          <w:lang w:val="mn-MN"/>
        </w:rPr>
        <w:t xml:space="preserve"> from 2011 to 2013. In 2015-2017, she worked as a general surgeon at Misheel Hospital. He has been working as a general surgeon at Grandmed Hospital in Mongolia since 2017.</w:t>
      </w:r>
    </w:p>
    <w:p w14:paraId="7CD7EF8E" w14:textId="26829CC7" w:rsidR="00AE3E37" w:rsidRPr="00385545" w:rsidRDefault="00A9710C" w:rsidP="00385545">
      <w:pPr>
        <w:spacing w:before="62"/>
        <w:ind w:right="4235"/>
        <w:jc w:val="right"/>
        <w:rPr>
          <w:rFonts w:ascii="Arial"/>
          <w:sz w:val="18"/>
          <w:szCs w:val="18"/>
        </w:rPr>
      </w:pPr>
      <w:r w:rsidRPr="00385545">
        <w:rPr>
          <w:rFonts w:ascii="Arial"/>
          <w:sz w:val="18"/>
          <w:szCs w:val="18"/>
        </w:rPr>
        <w:t>Email:</w:t>
      </w:r>
      <w:r w:rsidR="00385545" w:rsidRPr="00385545">
        <w:rPr>
          <w:rFonts w:ascii="Arial"/>
          <w:sz w:val="18"/>
          <w:szCs w:val="18"/>
        </w:rPr>
        <w:t xml:space="preserve"> mgl_bayanaa@yahoo.com</w:t>
      </w:r>
    </w:p>
    <w:p w14:paraId="030E15F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DA178B7" wp14:editId="46A0F4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5B34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E6E9168" w14:textId="77777777" w:rsidR="00AE3E37" w:rsidRDefault="00AE3E37">
      <w:pPr>
        <w:pStyle w:val="BodyText"/>
        <w:rPr>
          <w:rFonts w:ascii="Arial"/>
          <w:sz w:val="20"/>
        </w:rPr>
      </w:pPr>
    </w:p>
    <w:p w14:paraId="02CD1E5A" w14:textId="77777777" w:rsidR="00AE3E37" w:rsidRDefault="00AE3E37">
      <w:pPr>
        <w:pStyle w:val="BodyText"/>
        <w:rPr>
          <w:rFonts w:ascii="Arial"/>
          <w:sz w:val="20"/>
        </w:rPr>
      </w:pPr>
    </w:p>
    <w:p w14:paraId="37E44AC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16A58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6346C" w14:textId="77777777" w:rsidR="00CC606B" w:rsidRDefault="00CC606B">
      <w:r>
        <w:separator/>
      </w:r>
    </w:p>
  </w:endnote>
  <w:endnote w:type="continuationSeparator" w:id="0">
    <w:p w14:paraId="59AEB2F6" w14:textId="77777777" w:rsidR="00CC606B" w:rsidRDefault="00CC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adea">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8FA7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52ACE74" wp14:editId="663F1B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3BCC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BDDD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2ACE7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193BCC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BDDD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118B4E" wp14:editId="2219EB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D0C4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3CBC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18B4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C2D0C4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3CBC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7DC775" wp14:editId="0F59A8D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71F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F42C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DC77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A271F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F42C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58EEE0" w14:textId="77777777" w:rsidR="00CC606B" w:rsidRDefault="00CC606B">
      <w:r>
        <w:separator/>
      </w:r>
    </w:p>
  </w:footnote>
  <w:footnote w:type="continuationSeparator" w:id="0">
    <w:p w14:paraId="56F525CC" w14:textId="77777777" w:rsidR="00CC606B" w:rsidRDefault="00CC6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B010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4DC0C13" wp14:editId="68C8180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F62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C0C1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DAF62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F4ED0A8" wp14:editId="6DA7B07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F923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99A1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ED0A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BFF923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99A1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36184"/>
    <w:multiLevelType w:val="hybridMultilevel"/>
    <w:tmpl w:val="A6441A08"/>
    <w:lvl w:ilvl="0" w:tplc="FA4C005C">
      <w:start w:val="1"/>
      <w:numFmt w:val="decimal"/>
      <w:lvlText w:val="%1."/>
      <w:lvlJc w:val="left"/>
      <w:pPr>
        <w:ind w:left="500" w:hanging="360"/>
        <w:jc w:val="left"/>
      </w:pPr>
      <w:rPr>
        <w:rFonts w:ascii="Caladea" w:eastAsia="Caladea" w:hAnsi="Caladea" w:cs="Caladea" w:hint="default"/>
        <w:spacing w:val="-2"/>
        <w:w w:val="100"/>
        <w:sz w:val="20"/>
        <w:szCs w:val="20"/>
        <w:lang w:val="en-US" w:eastAsia="en-US" w:bidi="ar-SA"/>
      </w:rPr>
    </w:lvl>
    <w:lvl w:ilvl="1" w:tplc="02084CBA">
      <w:numFmt w:val="bullet"/>
      <w:lvlText w:val="•"/>
      <w:lvlJc w:val="left"/>
      <w:pPr>
        <w:ind w:left="979" w:hanging="360"/>
      </w:pPr>
      <w:rPr>
        <w:rFonts w:hint="default"/>
        <w:lang w:val="en-US" w:eastAsia="en-US" w:bidi="ar-SA"/>
      </w:rPr>
    </w:lvl>
    <w:lvl w:ilvl="2" w:tplc="E1FC2172">
      <w:numFmt w:val="bullet"/>
      <w:lvlText w:val="•"/>
      <w:lvlJc w:val="left"/>
      <w:pPr>
        <w:ind w:left="1458" w:hanging="360"/>
      </w:pPr>
      <w:rPr>
        <w:rFonts w:hint="default"/>
        <w:lang w:val="en-US" w:eastAsia="en-US" w:bidi="ar-SA"/>
      </w:rPr>
    </w:lvl>
    <w:lvl w:ilvl="3" w:tplc="8E6AFFE0">
      <w:numFmt w:val="bullet"/>
      <w:lvlText w:val="•"/>
      <w:lvlJc w:val="left"/>
      <w:pPr>
        <w:ind w:left="1938" w:hanging="360"/>
      </w:pPr>
      <w:rPr>
        <w:rFonts w:hint="default"/>
        <w:lang w:val="en-US" w:eastAsia="en-US" w:bidi="ar-SA"/>
      </w:rPr>
    </w:lvl>
    <w:lvl w:ilvl="4" w:tplc="F4E82A0A">
      <w:numFmt w:val="bullet"/>
      <w:lvlText w:val="•"/>
      <w:lvlJc w:val="left"/>
      <w:pPr>
        <w:ind w:left="2417" w:hanging="360"/>
      </w:pPr>
      <w:rPr>
        <w:rFonts w:hint="default"/>
        <w:lang w:val="en-US" w:eastAsia="en-US" w:bidi="ar-SA"/>
      </w:rPr>
    </w:lvl>
    <w:lvl w:ilvl="5" w:tplc="35E88DA2">
      <w:numFmt w:val="bullet"/>
      <w:lvlText w:val="•"/>
      <w:lvlJc w:val="left"/>
      <w:pPr>
        <w:ind w:left="2897" w:hanging="360"/>
      </w:pPr>
      <w:rPr>
        <w:rFonts w:hint="default"/>
        <w:lang w:val="en-US" w:eastAsia="en-US" w:bidi="ar-SA"/>
      </w:rPr>
    </w:lvl>
    <w:lvl w:ilvl="6" w:tplc="2C3C59F6">
      <w:numFmt w:val="bullet"/>
      <w:lvlText w:val="•"/>
      <w:lvlJc w:val="left"/>
      <w:pPr>
        <w:ind w:left="3376" w:hanging="360"/>
      </w:pPr>
      <w:rPr>
        <w:rFonts w:hint="default"/>
        <w:lang w:val="en-US" w:eastAsia="en-US" w:bidi="ar-SA"/>
      </w:rPr>
    </w:lvl>
    <w:lvl w:ilvl="7" w:tplc="BCA828BE">
      <w:numFmt w:val="bullet"/>
      <w:lvlText w:val="•"/>
      <w:lvlJc w:val="left"/>
      <w:pPr>
        <w:ind w:left="3855" w:hanging="360"/>
      </w:pPr>
      <w:rPr>
        <w:rFonts w:hint="default"/>
        <w:lang w:val="en-US" w:eastAsia="en-US" w:bidi="ar-SA"/>
      </w:rPr>
    </w:lvl>
    <w:lvl w:ilvl="8" w:tplc="4E44ECAE">
      <w:numFmt w:val="bullet"/>
      <w:lvlText w:val="•"/>
      <w:lvlJc w:val="left"/>
      <w:pPr>
        <w:ind w:left="4335" w:hanging="360"/>
      </w:pPr>
      <w:rPr>
        <w:rFonts w:hint="default"/>
        <w:lang w:val="en-US" w:eastAsia="en-US" w:bidi="ar-SA"/>
      </w:rPr>
    </w:lvl>
  </w:abstractNum>
  <w:abstractNum w:abstractNumId="1" w15:restartNumberingAfterBreak="0">
    <w:nsid w:val="16795BBE"/>
    <w:multiLevelType w:val="hybridMultilevel"/>
    <w:tmpl w:val="A18884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08E9"/>
    <w:rsid w:val="000E2911"/>
    <w:rsid w:val="000F7F2B"/>
    <w:rsid w:val="001263DF"/>
    <w:rsid w:val="001E763C"/>
    <w:rsid w:val="002502EF"/>
    <w:rsid w:val="00292ED9"/>
    <w:rsid w:val="002C3DDA"/>
    <w:rsid w:val="00314AFB"/>
    <w:rsid w:val="00385545"/>
    <w:rsid w:val="003B76D9"/>
    <w:rsid w:val="003C650C"/>
    <w:rsid w:val="00404E5B"/>
    <w:rsid w:val="00414F7B"/>
    <w:rsid w:val="004355DC"/>
    <w:rsid w:val="004749B4"/>
    <w:rsid w:val="00494130"/>
    <w:rsid w:val="004F3523"/>
    <w:rsid w:val="00570C62"/>
    <w:rsid w:val="005973B9"/>
    <w:rsid w:val="005B3A56"/>
    <w:rsid w:val="006060CE"/>
    <w:rsid w:val="0063497F"/>
    <w:rsid w:val="0078738A"/>
    <w:rsid w:val="00873DF0"/>
    <w:rsid w:val="008756E6"/>
    <w:rsid w:val="009B2D44"/>
    <w:rsid w:val="00A07E82"/>
    <w:rsid w:val="00A9710C"/>
    <w:rsid w:val="00AE3E37"/>
    <w:rsid w:val="00B21A57"/>
    <w:rsid w:val="00C15601"/>
    <w:rsid w:val="00C33602"/>
    <w:rsid w:val="00CC606B"/>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5429B"/>
  <w15:docId w15:val="{12A0FD6F-2EE5-47C1-8E8B-BF85C37C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uiPriority w:val="10"/>
    <w:qFormat/>
    <w:rsid w:val="003C650C"/>
    <w:pPr>
      <w:autoSpaceDE w:val="0"/>
      <w:autoSpaceDN w:val="0"/>
      <w:spacing w:before="80"/>
      <w:ind w:left="1215"/>
    </w:pPr>
    <w:rPr>
      <w:rFonts w:ascii="Caladea" w:eastAsia="Caladea" w:hAnsi="Caladea" w:cs="Caladea"/>
      <w:b/>
      <w:bCs/>
      <w:sz w:val="30"/>
      <w:szCs w:val="30"/>
    </w:rPr>
  </w:style>
  <w:style w:type="character" w:customStyle="1" w:styleId="TitleChar">
    <w:name w:val="Title Char"/>
    <w:basedOn w:val="DefaultParagraphFont"/>
    <w:link w:val="Title"/>
    <w:uiPriority w:val="10"/>
    <w:rsid w:val="003C650C"/>
    <w:rPr>
      <w:rFonts w:ascii="Caladea" w:eastAsia="Caladea" w:hAnsi="Caladea" w:cs="Caladea"/>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Oyunbileg Davaatseren</cp:lastModifiedBy>
  <cp:revision>10</cp:revision>
  <dcterms:created xsi:type="dcterms:W3CDTF">2016-08-31T13:10:00Z</dcterms:created>
  <dcterms:modified xsi:type="dcterms:W3CDTF">2021-01-22T11:19:00Z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