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D02D2" w14:textId="77777777" w:rsidR="00B81D3D" w:rsidRPr="00B81D3D" w:rsidRDefault="00B81D3D">
      <w:pPr>
        <w:rPr>
          <w:rFonts w:ascii="Arial" w:hAnsi="Arial" w:cs="Arial"/>
        </w:rPr>
      </w:pPr>
    </w:p>
    <w:p w14:paraId="7CB52881" w14:textId="6998348C" w:rsidR="00B81D3D" w:rsidRPr="00B81D3D" w:rsidRDefault="00B81D3D" w:rsidP="00B81D3D">
      <w:pPr>
        <w:pStyle w:val="Title"/>
        <w:rPr>
          <w:rFonts w:ascii="Arial" w:hAnsi="Arial" w:cs="Arial"/>
          <w:color w:val="001F5F"/>
        </w:rPr>
      </w:pPr>
      <w:r w:rsidRPr="00B81D3D">
        <w:rPr>
          <w:rFonts w:ascii="Arial" w:hAnsi="Arial" w:cs="Arial"/>
          <w:color w:val="001F5F"/>
        </w:rPr>
        <w:t>Small Intestinal Tubulovillous Adenoma: A Rare Case Report</w:t>
      </w:r>
    </w:p>
    <w:p w14:paraId="0F24D852" w14:textId="087E81C8" w:rsidR="00B81D3D" w:rsidRPr="00B81D3D" w:rsidRDefault="00B81D3D" w:rsidP="00B81D3D">
      <w:pPr>
        <w:pStyle w:val="Heading1"/>
        <w:spacing w:before="228"/>
        <w:rPr>
          <w:rFonts w:ascii="Arial" w:hAnsi="Arial" w:cs="Arial"/>
        </w:rPr>
      </w:pPr>
      <w:r w:rsidRPr="00B81D3D">
        <w:rPr>
          <w:rFonts w:ascii="Arial" w:hAnsi="Arial" w:cs="Arial"/>
        </w:rPr>
        <w:t>Bayanduuren B*, Mishigdorj L, Gonchogsuren D</w:t>
      </w:r>
    </w:p>
    <w:p w14:paraId="532D0C2D" w14:textId="77777777" w:rsidR="00B81D3D" w:rsidRPr="00B81D3D" w:rsidRDefault="00B81D3D" w:rsidP="00B81D3D">
      <w:pPr>
        <w:pStyle w:val="BodyText"/>
        <w:spacing w:before="145"/>
        <w:ind w:left="140"/>
        <w:rPr>
          <w:rFonts w:ascii="Arial" w:hAnsi="Arial" w:cs="Arial"/>
        </w:rPr>
      </w:pPr>
      <w:r w:rsidRPr="00B81D3D">
        <w:rPr>
          <w:rFonts w:ascii="Arial" w:hAnsi="Arial" w:cs="Arial"/>
        </w:rPr>
        <w:t>General surgery department, Grandmed hospital, Mongolia</w:t>
      </w:r>
    </w:p>
    <w:p w14:paraId="78458A41" w14:textId="7D8B2640" w:rsidR="00B81D3D" w:rsidRPr="00B81D3D" w:rsidRDefault="00B81D3D" w:rsidP="00B81D3D">
      <w:pPr>
        <w:pStyle w:val="BodyText"/>
        <w:spacing w:before="140"/>
        <w:ind w:left="140" w:right="1926"/>
        <w:rPr>
          <w:rFonts w:ascii="Arial" w:hAnsi="Arial" w:cs="Arial"/>
        </w:rPr>
      </w:pPr>
      <w:r w:rsidRPr="00B81D3D">
        <w:rPr>
          <w:rFonts w:ascii="Arial" w:hAnsi="Arial" w:cs="Arial"/>
          <w:b/>
          <w:position w:val="5"/>
        </w:rPr>
        <w:t>*</w:t>
      </w:r>
      <w:r w:rsidRPr="00B81D3D">
        <w:rPr>
          <w:rFonts w:ascii="Arial" w:hAnsi="Arial" w:cs="Arial"/>
          <w:b/>
        </w:rPr>
        <w:t xml:space="preserve">Corresponding author: </w:t>
      </w:r>
      <w:r w:rsidRPr="00B81D3D">
        <w:rPr>
          <w:rFonts w:ascii="Arial" w:hAnsi="Arial" w:cs="Arial"/>
        </w:rPr>
        <w:t xml:space="preserve">Bayanduuren B, General surgery department, Grandmed hospital, Mongolia. Email: </w:t>
      </w:r>
      <w:hyperlink r:id="rId5">
        <w:r w:rsidRPr="00B81D3D">
          <w:rPr>
            <w:rFonts w:ascii="Arial" w:hAnsi="Arial" w:cs="Arial"/>
          </w:rPr>
          <w:t>mgl_bayanaa@yahoo.com</w:t>
        </w:r>
      </w:hyperlink>
    </w:p>
    <w:p w14:paraId="5E4766F3" w14:textId="77777777" w:rsidR="00B81D3D" w:rsidRPr="00B81D3D" w:rsidRDefault="00B81D3D" w:rsidP="00B81D3D">
      <w:pPr>
        <w:pStyle w:val="BodyText"/>
        <w:spacing w:before="140"/>
        <w:ind w:left="140" w:right="1926"/>
        <w:rPr>
          <w:rFonts w:ascii="Arial" w:hAnsi="Arial" w:cs="Arial"/>
        </w:rPr>
      </w:pPr>
    </w:p>
    <w:p w14:paraId="6B4370BB" w14:textId="40DD1681" w:rsidR="00B81D3D" w:rsidRPr="00421E60" w:rsidRDefault="00B81D3D">
      <w:pPr>
        <w:rPr>
          <w:rFonts w:ascii="Arial" w:hAnsi="Arial" w:cs="Arial"/>
          <w:b/>
          <w:bCs/>
        </w:rPr>
      </w:pPr>
      <w:r w:rsidRPr="00421E60">
        <w:rPr>
          <w:rFonts w:ascii="Arial" w:hAnsi="Arial" w:cs="Arial"/>
          <w:b/>
          <w:bCs/>
        </w:rPr>
        <w:t xml:space="preserve">Introduction </w:t>
      </w:r>
    </w:p>
    <w:p w14:paraId="066631DA" w14:textId="1993295A" w:rsidR="00B81D3D" w:rsidRPr="00B81D3D" w:rsidRDefault="00B81D3D" w:rsidP="00421E60">
      <w:pPr>
        <w:jc w:val="both"/>
        <w:rPr>
          <w:rFonts w:ascii="Arial" w:hAnsi="Arial" w:cs="Arial"/>
        </w:rPr>
      </w:pPr>
      <w:r w:rsidRPr="00B81D3D">
        <w:rPr>
          <w:rFonts w:ascii="Arial" w:hAnsi="Arial" w:cs="Arial"/>
        </w:rPr>
        <w:t>The</w:t>
      </w:r>
      <w:r w:rsidRPr="00B81D3D">
        <w:rPr>
          <w:rFonts w:ascii="Arial" w:hAnsi="Arial" w:cs="Arial"/>
          <w:spacing w:val="-9"/>
        </w:rPr>
        <w:t xml:space="preserve"> </w:t>
      </w:r>
      <w:r w:rsidRPr="00B81D3D">
        <w:rPr>
          <w:rFonts w:ascii="Arial" w:hAnsi="Arial" w:cs="Arial"/>
        </w:rPr>
        <w:t>small</w:t>
      </w:r>
      <w:r w:rsidRPr="00B81D3D">
        <w:rPr>
          <w:rFonts w:ascii="Arial" w:hAnsi="Arial" w:cs="Arial"/>
          <w:spacing w:val="-8"/>
        </w:rPr>
        <w:t xml:space="preserve"> </w:t>
      </w:r>
      <w:r w:rsidRPr="00B81D3D">
        <w:rPr>
          <w:rFonts w:ascii="Arial" w:hAnsi="Arial" w:cs="Arial"/>
        </w:rPr>
        <w:t>bowel</w:t>
      </w:r>
      <w:r w:rsidRPr="00B81D3D">
        <w:rPr>
          <w:rFonts w:ascii="Arial" w:hAnsi="Arial" w:cs="Arial"/>
          <w:spacing w:val="-8"/>
        </w:rPr>
        <w:t xml:space="preserve"> </w:t>
      </w:r>
      <w:r w:rsidRPr="00B81D3D">
        <w:rPr>
          <w:rFonts w:ascii="Arial" w:hAnsi="Arial" w:cs="Arial"/>
        </w:rPr>
        <w:t>accounts</w:t>
      </w:r>
      <w:r w:rsidRPr="00B81D3D">
        <w:rPr>
          <w:rFonts w:ascii="Arial" w:hAnsi="Arial" w:cs="Arial"/>
          <w:spacing w:val="-6"/>
        </w:rPr>
        <w:t xml:space="preserve"> </w:t>
      </w:r>
      <w:r w:rsidRPr="00B81D3D">
        <w:rPr>
          <w:rFonts w:ascii="Arial" w:hAnsi="Arial" w:cs="Arial"/>
        </w:rPr>
        <w:t>for</w:t>
      </w:r>
      <w:r w:rsidRPr="00B81D3D">
        <w:rPr>
          <w:rFonts w:ascii="Arial" w:hAnsi="Arial" w:cs="Arial"/>
          <w:spacing w:val="-8"/>
        </w:rPr>
        <w:t xml:space="preserve"> </w:t>
      </w:r>
      <w:r w:rsidRPr="00B81D3D">
        <w:rPr>
          <w:rFonts w:ascii="Arial" w:hAnsi="Arial" w:cs="Arial"/>
        </w:rPr>
        <w:t>75%</w:t>
      </w:r>
      <w:r w:rsidRPr="00B81D3D">
        <w:rPr>
          <w:rFonts w:ascii="Arial" w:hAnsi="Arial" w:cs="Arial"/>
          <w:spacing w:val="-7"/>
        </w:rPr>
        <w:t xml:space="preserve"> </w:t>
      </w:r>
      <w:r w:rsidRPr="00B81D3D">
        <w:rPr>
          <w:rFonts w:ascii="Arial" w:hAnsi="Arial" w:cs="Arial"/>
        </w:rPr>
        <w:t>of</w:t>
      </w:r>
      <w:r w:rsidRPr="00B81D3D">
        <w:rPr>
          <w:rFonts w:ascii="Arial" w:hAnsi="Arial" w:cs="Arial"/>
          <w:spacing w:val="-5"/>
        </w:rPr>
        <w:t xml:space="preserve"> </w:t>
      </w:r>
      <w:r w:rsidRPr="00B81D3D">
        <w:rPr>
          <w:rFonts w:ascii="Arial" w:hAnsi="Arial" w:cs="Arial"/>
        </w:rPr>
        <w:t>the</w:t>
      </w:r>
      <w:r w:rsidRPr="00B81D3D">
        <w:rPr>
          <w:rFonts w:ascii="Arial" w:hAnsi="Arial" w:cs="Arial"/>
          <w:spacing w:val="-9"/>
        </w:rPr>
        <w:t xml:space="preserve"> </w:t>
      </w:r>
      <w:r w:rsidRPr="00B81D3D">
        <w:rPr>
          <w:rFonts w:ascii="Arial" w:hAnsi="Arial" w:cs="Arial"/>
        </w:rPr>
        <w:t>length</w:t>
      </w:r>
      <w:r w:rsidRPr="00B81D3D">
        <w:rPr>
          <w:rFonts w:ascii="Arial" w:hAnsi="Arial" w:cs="Arial"/>
          <w:spacing w:val="-7"/>
        </w:rPr>
        <w:t xml:space="preserve"> </w:t>
      </w:r>
      <w:r w:rsidRPr="00B81D3D">
        <w:rPr>
          <w:rFonts w:ascii="Arial" w:hAnsi="Arial" w:cs="Arial"/>
        </w:rPr>
        <w:t>and</w:t>
      </w:r>
      <w:r w:rsidRPr="00B81D3D">
        <w:rPr>
          <w:rFonts w:ascii="Arial" w:hAnsi="Arial" w:cs="Arial"/>
          <w:spacing w:val="-8"/>
        </w:rPr>
        <w:t xml:space="preserve"> </w:t>
      </w:r>
      <w:r w:rsidRPr="00B81D3D">
        <w:rPr>
          <w:rFonts w:ascii="Arial" w:hAnsi="Arial" w:cs="Arial"/>
        </w:rPr>
        <w:t>90%</w:t>
      </w:r>
      <w:r w:rsidRPr="00B81D3D">
        <w:rPr>
          <w:rFonts w:ascii="Arial" w:hAnsi="Arial" w:cs="Arial"/>
          <w:spacing w:val="-2"/>
        </w:rPr>
        <w:t xml:space="preserve"> </w:t>
      </w:r>
      <w:r w:rsidRPr="00B81D3D">
        <w:rPr>
          <w:rFonts w:ascii="Arial" w:hAnsi="Arial" w:cs="Arial"/>
        </w:rPr>
        <w:t>of the</w:t>
      </w:r>
      <w:r w:rsidRPr="00B81D3D">
        <w:rPr>
          <w:rFonts w:ascii="Arial" w:hAnsi="Arial" w:cs="Arial"/>
          <w:spacing w:val="-9"/>
        </w:rPr>
        <w:t xml:space="preserve"> </w:t>
      </w:r>
      <w:r w:rsidRPr="00B81D3D">
        <w:rPr>
          <w:rFonts w:ascii="Arial" w:hAnsi="Arial" w:cs="Arial"/>
        </w:rPr>
        <w:t>mucosal</w:t>
      </w:r>
      <w:r w:rsidRPr="00B81D3D">
        <w:rPr>
          <w:rFonts w:ascii="Arial" w:hAnsi="Arial" w:cs="Arial"/>
          <w:spacing w:val="-8"/>
        </w:rPr>
        <w:t xml:space="preserve"> </w:t>
      </w:r>
      <w:r w:rsidRPr="00B81D3D">
        <w:rPr>
          <w:rFonts w:ascii="Arial" w:hAnsi="Arial" w:cs="Arial"/>
        </w:rPr>
        <w:t>surface</w:t>
      </w:r>
      <w:r w:rsidRPr="00B81D3D">
        <w:rPr>
          <w:rFonts w:ascii="Arial" w:hAnsi="Arial" w:cs="Arial"/>
          <w:spacing w:val="-13"/>
        </w:rPr>
        <w:t xml:space="preserve"> </w:t>
      </w:r>
      <w:r w:rsidRPr="00B81D3D">
        <w:rPr>
          <w:rFonts w:ascii="Arial" w:hAnsi="Arial" w:cs="Arial"/>
        </w:rPr>
        <w:t>area</w:t>
      </w:r>
      <w:r w:rsidRPr="00B81D3D">
        <w:rPr>
          <w:rFonts w:ascii="Arial" w:hAnsi="Arial" w:cs="Arial"/>
          <w:spacing w:val="-3"/>
        </w:rPr>
        <w:t xml:space="preserve"> </w:t>
      </w:r>
      <w:r w:rsidRPr="00B81D3D">
        <w:rPr>
          <w:rFonts w:ascii="Arial" w:hAnsi="Arial" w:cs="Arial"/>
        </w:rPr>
        <w:t>of</w:t>
      </w:r>
      <w:r w:rsidRPr="00B81D3D">
        <w:rPr>
          <w:rFonts w:ascii="Arial" w:hAnsi="Arial" w:cs="Arial"/>
          <w:spacing w:val="-5"/>
        </w:rPr>
        <w:t xml:space="preserve"> </w:t>
      </w:r>
      <w:r w:rsidRPr="00B81D3D">
        <w:rPr>
          <w:rFonts w:ascii="Arial" w:hAnsi="Arial" w:cs="Arial"/>
        </w:rPr>
        <w:t>the</w:t>
      </w:r>
      <w:r w:rsidRPr="00B81D3D">
        <w:rPr>
          <w:rFonts w:ascii="Arial" w:hAnsi="Arial" w:cs="Arial"/>
          <w:spacing w:val="-9"/>
        </w:rPr>
        <w:t xml:space="preserve"> </w:t>
      </w:r>
      <w:r w:rsidRPr="00B81D3D">
        <w:rPr>
          <w:rFonts w:ascii="Arial" w:hAnsi="Arial" w:cs="Arial"/>
        </w:rPr>
        <w:t>gastrointestinal</w:t>
      </w:r>
      <w:r w:rsidRPr="00B81D3D">
        <w:rPr>
          <w:rFonts w:ascii="Arial" w:hAnsi="Arial" w:cs="Arial"/>
          <w:spacing w:val="-8"/>
        </w:rPr>
        <w:t xml:space="preserve"> </w:t>
      </w:r>
      <w:r w:rsidRPr="00B81D3D">
        <w:rPr>
          <w:rFonts w:ascii="Arial" w:hAnsi="Arial" w:cs="Arial"/>
        </w:rPr>
        <w:t>tract,</w:t>
      </w:r>
      <w:r w:rsidRPr="00B81D3D">
        <w:rPr>
          <w:rFonts w:ascii="Arial" w:hAnsi="Arial" w:cs="Arial"/>
          <w:spacing w:val="-4"/>
        </w:rPr>
        <w:t xml:space="preserve"> </w:t>
      </w:r>
      <w:r w:rsidRPr="00B81D3D">
        <w:rPr>
          <w:rFonts w:ascii="Arial" w:hAnsi="Arial" w:cs="Arial"/>
          <w:spacing w:val="-3"/>
        </w:rPr>
        <w:t xml:space="preserve">fewer </w:t>
      </w:r>
      <w:r w:rsidRPr="00B81D3D">
        <w:rPr>
          <w:rFonts w:ascii="Arial" w:hAnsi="Arial" w:cs="Arial"/>
        </w:rPr>
        <w:t>than</w:t>
      </w:r>
      <w:r w:rsidRPr="00B81D3D">
        <w:rPr>
          <w:rFonts w:ascii="Arial" w:hAnsi="Arial" w:cs="Arial"/>
          <w:spacing w:val="-8"/>
        </w:rPr>
        <w:t xml:space="preserve"> </w:t>
      </w:r>
      <w:r w:rsidRPr="00B81D3D">
        <w:rPr>
          <w:rFonts w:ascii="Arial" w:hAnsi="Arial" w:cs="Arial"/>
        </w:rPr>
        <w:t>3%</w:t>
      </w:r>
      <w:r w:rsidRPr="00B81D3D">
        <w:rPr>
          <w:rFonts w:ascii="Arial" w:hAnsi="Arial" w:cs="Arial"/>
          <w:spacing w:val="-7"/>
        </w:rPr>
        <w:t xml:space="preserve"> </w:t>
      </w:r>
      <w:r w:rsidRPr="00B81D3D">
        <w:rPr>
          <w:rFonts w:ascii="Arial" w:hAnsi="Arial" w:cs="Arial"/>
        </w:rPr>
        <w:t>of</w:t>
      </w:r>
      <w:r w:rsidRPr="00B81D3D">
        <w:rPr>
          <w:rFonts w:ascii="Arial" w:hAnsi="Arial" w:cs="Arial"/>
          <w:spacing w:val="-4"/>
        </w:rPr>
        <w:t xml:space="preserve"> </w:t>
      </w:r>
      <w:r w:rsidRPr="00B81D3D">
        <w:rPr>
          <w:rFonts w:ascii="Arial" w:hAnsi="Arial" w:cs="Arial"/>
        </w:rPr>
        <w:t>gastrointestinal</w:t>
      </w:r>
      <w:r w:rsidRPr="00B81D3D">
        <w:rPr>
          <w:rFonts w:ascii="Arial" w:hAnsi="Arial" w:cs="Arial"/>
          <w:spacing w:val="-8"/>
        </w:rPr>
        <w:t xml:space="preserve"> </w:t>
      </w:r>
      <w:r w:rsidRPr="00B81D3D">
        <w:rPr>
          <w:rFonts w:ascii="Arial" w:hAnsi="Arial" w:cs="Arial"/>
        </w:rPr>
        <w:t>malignancies</w:t>
      </w:r>
      <w:r w:rsidRPr="00B81D3D">
        <w:rPr>
          <w:rFonts w:ascii="Arial" w:hAnsi="Arial" w:cs="Arial"/>
          <w:spacing w:val="-10"/>
        </w:rPr>
        <w:t xml:space="preserve"> </w:t>
      </w:r>
      <w:r w:rsidRPr="00B81D3D">
        <w:rPr>
          <w:rFonts w:ascii="Arial" w:hAnsi="Arial" w:cs="Arial"/>
        </w:rPr>
        <w:t>arise</w:t>
      </w:r>
      <w:r w:rsidRPr="00B81D3D">
        <w:rPr>
          <w:rFonts w:ascii="Arial" w:hAnsi="Arial" w:cs="Arial"/>
          <w:spacing w:val="-8"/>
        </w:rPr>
        <w:t xml:space="preserve"> </w:t>
      </w:r>
      <w:r w:rsidRPr="00B81D3D">
        <w:rPr>
          <w:rFonts w:ascii="Arial" w:hAnsi="Arial" w:cs="Arial"/>
        </w:rPr>
        <w:t>in</w:t>
      </w:r>
      <w:r w:rsidRPr="00B81D3D">
        <w:rPr>
          <w:rFonts w:ascii="Arial" w:hAnsi="Arial" w:cs="Arial"/>
          <w:spacing w:val="-7"/>
        </w:rPr>
        <w:t xml:space="preserve"> </w:t>
      </w:r>
      <w:r w:rsidRPr="00B81D3D">
        <w:rPr>
          <w:rFonts w:ascii="Arial" w:hAnsi="Arial" w:cs="Arial"/>
        </w:rPr>
        <w:t>this</w:t>
      </w:r>
      <w:r w:rsidRPr="00B81D3D">
        <w:rPr>
          <w:rFonts w:ascii="Arial" w:hAnsi="Arial" w:cs="Arial"/>
          <w:spacing w:val="-6"/>
        </w:rPr>
        <w:t xml:space="preserve"> </w:t>
      </w:r>
      <w:r w:rsidRPr="00B81D3D">
        <w:rPr>
          <w:rFonts w:ascii="Arial" w:hAnsi="Arial" w:cs="Arial"/>
          <w:spacing w:val="-3"/>
        </w:rPr>
        <w:t xml:space="preserve">organ </w:t>
      </w:r>
      <w:r w:rsidRPr="00B81D3D">
        <w:rPr>
          <w:rFonts w:ascii="Arial" w:hAnsi="Arial" w:cs="Arial"/>
        </w:rPr>
        <w:t>[1.2]. Small bowel adenoma is very rare disease and most common location in duodenum [3.6]. Ileal adenoma is very rare disease [1-4]. As in the colon, small bowel adenomas are histologically classified as tubular, tubulovillous, or villous [5.7]. Most common in the periampullary region, they</w:t>
      </w:r>
      <w:r w:rsidRPr="00B81D3D">
        <w:rPr>
          <w:rFonts w:ascii="Arial" w:hAnsi="Arial" w:cs="Arial"/>
          <w:spacing w:val="-8"/>
        </w:rPr>
        <w:t xml:space="preserve"> </w:t>
      </w:r>
      <w:r w:rsidRPr="00B81D3D">
        <w:rPr>
          <w:rFonts w:ascii="Arial" w:hAnsi="Arial" w:cs="Arial"/>
        </w:rPr>
        <w:t>can</w:t>
      </w:r>
      <w:r w:rsidRPr="00B81D3D">
        <w:rPr>
          <w:rFonts w:ascii="Arial" w:hAnsi="Arial" w:cs="Arial"/>
          <w:spacing w:val="-8"/>
        </w:rPr>
        <w:t xml:space="preserve"> </w:t>
      </w:r>
      <w:r w:rsidRPr="00B81D3D">
        <w:rPr>
          <w:rFonts w:ascii="Arial" w:hAnsi="Arial" w:cs="Arial"/>
        </w:rPr>
        <w:t>develop</w:t>
      </w:r>
      <w:r w:rsidRPr="00B81D3D">
        <w:rPr>
          <w:rFonts w:ascii="Arial" w:hAnsi="Arial" w:cs="Arial"/>
          <w:spacing w:val="-8"/>
        </w:rPr>
        <w:t xml:space="preserve"> </w:t>
      </w:r>
      <w:r w:rsidRPr="00B81D3D">
        <w:rPr>
          <w:rFonts w:ascii="Arial" w:hAnsi="Arial" w:cs="Arial"/>
        </w:rPr>
        <w:t>throughout</w:t>
      </w:r>
      <w:r w:rsidRPr="00B81D3D">
        <w:rPr>
          <w:rFonts w:ascii="Arial" w:hAnsi="Arial" w:cs="Arial"/>
          <w:spacing w:val="-7"/>
        </w:rPr>
        <w:t xml:space="preserve"> </w:t>
      </w:r>
      <w:r w:rsidRPr="00B81D3D">
        <w:rPr>
          <w:rFonts w:ascii="Arial" w:hAnsi="Arial" w:cs="Arial"/>
        </w:rPr>
        <w:t>the</w:t>
      </w:r>
      <w:r w:rsidRPr="00B81D3D">
        <w:rPr>
          <w:rFonts w:ascii="Arial" w:hAnsi="Arial" w:cs="Arial"/>
          <w:spacing w:val="-9"/>
        </w:rPr>
        <w:t xml:space="preserve"> </w:t>
      </w:r>
      <w:r w:rsidRPr="00B81D3D">
        <w:rPr>
          <w:rFonts w:ascii="Arial" w:hAnsi="Arial" w:cs="Arial"/>
        </w:rPr>
        <w:t>small</w:t>
      </w:r>
      <w:r w:rsidRPr="00B81D3D">
        <w:rPr>
          <w:rFonts w:ascii="Arial" w:hAnsi="Arial" w:cs="Arial"/>
          <w:spacing w:val="-8"/>
        </w:rPr>
        <w:t xml:space="preserve"> </w:t>
      </w:r>
      <w:r w:rsidRPr="00B81D3D">
        <w:rPr>
          <w:rFonts w:ascii="Arial" w:hAnsi="Arial" w:cs="Arial"/>
        </w:rPr>
        <w:t>bowel</w:t>
      </w:r>
      <w:r w:rsidRPr="00B81D3D">
        <w:rPr>
          <w:rFonts w:ascii="Arial" w:hAnsi="Arial" w:cs="Arial"/>
          <w:spacing w:val="-8"/>
        </w:rPr>
        <w:t xml:space="preserve"> </w:t>
      </w:r>
      <w:r w:rsidRPr="00B81D3D">
        <w:rPr>
          <w:rFonts w:ascii="Arial" w:hAnsi="Arial" w:cs="Arial"/>
        </w:rPr>
        <w:t>mucosa</w:t>
      </w:r>
      <w:r w:rsidRPr="00B81D3D">
        <w:rPr>
          <w:rFonts w:ascii="Arial" w:hAnsi="Arial" w:cs="Arial"/>
          <w:spacing w:val="-1"/>
        </w:rPr>
        <w:t xml:space="preserve"> </w:t>
      </w:r>
      <w:r w:rsidRPr="00B81D3D">
        <w:rPr>
          <w:rFonts w:ascii="Arial" w:hAnsi="Arial" w:cs="Arial"/>
        </w:rPr>
        <w:t xml:space="preserve">[1-3]. Increased size correlates with malignant potential, and excision is advised when diagnosis is established, </w:t>
      </w:r>
      <w:r w:rsidRPr="00B81D3D">
        <w:rPr>
          <w:rFonts w:ascii="Arial" w:hAnsi="Arial" w:cs="Arial"/>
          <w:spacing w:val="-3"/>
        </w:rPr>
        <w:t xml:space="preserve">often </w:t>
      </w:r>
      <w:r w:rsidRPr="00B81D3D">
        <w:rPr>
          <w:rFonts w:ascii="Arial" w:hAnsi="Arial" w:cs="Arial"/>
        </w:rPr>
        <w:t>as an incidental finding [4.9]. Adenomas larger than 2 cm in diameter should be considered worrisome for malignancy. Large, periampullary duodenal adenomas may present with obstructive jaundice [4-6]. In these cases, ultrasound will</w:t>
      </w:r>
      <w:r w:rsidRPr="00B81D3D">
        <w:rPr>
          <w:rFonts w:ascii="Arial" w:hAnsi="Arial" w:cs="Arial"/>
        </w:rPr>
        <w:t xml:space="preserve"> </w:t>
      </w:r>
      <w:r w:rsidRPr="00B81D3D">
        <w:rPr>
          <w:rFonts w:ascii="Arial" w:hAnsi="Arial" w:cs="Arial"/>
        </w:rPr>
        <w:t>reveal evidence of biliary obstruction, prompting upper endoscopy with endoscopic retrograde biliary and pancreatic duct evaluation (endoscopic retrograde cholangiopancreatography),</w:t>
      </w:r>
      <w:r w:rsidRPr="00B81D3D">
        <w:rPr>
          <w:rFonts w:ascii="Arial" w:hAnsi="Arial" w:cs="Arial"/>
          <w:spacing w:val="-10"/>
        </w:rPr>
        <w:t xml:space="preserve"> </w:t>
      </w:r>
      <w:r w:rsidRPr="00B81D3D">
        <w:rPr>
          <w:rFonts w:ascii="Arial" w:hAnsi="Arial" w:cs="Arial"/>
        </w:rPr>
        <w:t>which</w:t>
      </w:r>
      <w:r w:rsidRPr="00B81D3D">
        <w:rPr>
          <w:rFonts w:ascii="Arial" w:hAnsi="Arial" w:cs="Arial"/>
          <w:spacing w:val="-13"/>
        </w:rPr>
        <w:t xml:space="preserve"> </w:t>
      </w:r>
      <w:r w:rsidRPr="00B81D3D">
        <w:rPr>
          <w:rFonts w:ascii="Arial" w:hAnsi="Arial" w:cs="Arial"/>
        </w:rPr>
        <w:t>will</w:t>
      </w:r>
      <w:r w:rsidRPr="00B81D3D">
        <w:rPr>
          <w:rFonts w:ascii="Arial" w:hAnsi="Arial" w:cs="Arial"/>
          <w:spacing w:val="-9"/>
        </w:rPr>
        <w:t xml:space="preserve"> </w:t>
      </w:r>
      <w:r w:rsidRPr="00B81D3D">
        <w:rPr>
          <w:rFonts w:ascii="Arial" w:hAnsi="Arial" w:cs="Arial"/>
        </w:rPr>
        <w:t>reveal</w:t>
      </w:r>
      <w:r w:rsidRPr="00B81D3D">
        <w:rPr>
          <w:rFonts w:ascii="Arial" w:hAnsi="Arial" w:cs="Arial"/>
          <w:spacing w:val="-9"/>
        </w:rPr>
        <w:t xml:space="preserve"> </w:t>
      </w:r>
      <w:r w:rsidRPr="00B81D3D">
        <w:rPr>
          <w:rFonts w:ascii="Arial" w:hAnsi="Arial" w:cs="Arial"/>
        </w:rPr>
        <w:t>the</w:t>
      </w:r>
      <w:r w:rsidRPr="00B81D3D">
        <w:rPr>
          <w:rFonts w:ascii="Arial" w:hAnsi="Arial" w:cs="Arial"/>
          <w:spacing w:val="-9"/>
        </w:rPr>
        <w:t xml:space="preserve"> </w:t>
      </w:r>
      <w:r w:rsidRPr="00B81D3D">
        <w:rPr>
          <w:rFonts w:ascii="Arial" w:hAnsi="Arial" w:cs="Arial"/>
        </w:rPr>
        <w:t>presence of the ampullary lesion [1-3].</w:t>
      </w:r>
    </w:p>
    <w:p w14:paraId="3DA61B2A" w14:textId="22AF04ED" w:rsidR="00B81D3D" w:rsidRPr="00421E60" w:rsidRDefault="00B81D3D" w:rsidP="00B81D3D">
      <w:pPr>
        <w:rPr>
          <w:rFonts w:ascii="Arial" w:hAnsi="Arial" w:cs="Arial"/>
          <w:b/>
          <w:bCs/>
        </w:rPr>
      </w:pPr>
      <w:r w:rsidRPr="00421E60">
        <w:rPr>
          <w:rFonts w:ascii="Arial" w:hAnsi="Arial" w:cs="Arial"/>
          <w:b/>
          <w:bCs/>
        </w:rPr>
        <w:t>Case</w:t>
      </w:r>
    </w:p>
    <w:p w14:paraId="55C51EDF" w14:textId="4ACC10E2" w:rsidR="00B81D3D" w:rsidRPr="00B81D3D" w:rsidRDefault="00B81D3D" w:rsidP="00421E60">
      <w:pPr>
        <w:jc w:val="both"/>
        <w:rPr>
          <w:rFonts w:ascii="Arial" w:hAnsi="Arial" w:cs="Arial"/>
        </w:rPr>
      </w:pPr>
      <w:r w:rsidRPr="00B81D3D">
        <w:rPr>
          <w:rFonts w:ascii="Arial" w:hAnsi="Arial" w:cs="Arial"/>
        </w:rPr>
        <w:t>A 42-year-old male presented to the emergency department with complaints of severe abdominal pain, vomiting, and abdominal distension for four days. He reported</w:t>
      </w:r>
      <w:r w:rsidRPr="00B81D3D">
        <w:rPr>
          <w:rFonts w:ascii="Arial" w:hAnsi="Arial" w:cs="Arial"/>
          <w:spacing w:val="-5"/>
        </w:rPr>
        <w:t xml:space="preserve"> </w:t>
      </w:r>
      <w:r w:rsidRPr="00B81D3D">
        <w:rPr>
          <w:rFonts w:ascii="Arial" w:hAnsi="Arial" w:cs="Arial"/>
        </w:rPr>
        <w:t>not</w:t>
      </w:r>
      <w:r w:rsidRPr="00B81D3D">
        <w:rPr>
          <w:rFonts w:ascii="Arial" w:hAnsi="Arial" w:cs="Arial"/>
          <w:spacing w:val="-4"/>
        </w:rPr>
        <w:t xml:space="preserve"> </w:t>
      </w:r>
      <w:r w:rsidRPr="00B81D3D">
        <w:rPr>
          <w:rFonts w:ascii="Arial" w:hAnsi="Arial" w:cs="Arial"/>
        </w:rPr>
        <w:t>passing</w:t>
      </w:r>
      <w:r w:rsidRPr="00B81D3D">
        <w:rPr>
          <w:rFonts w:ascii="Arial" w:hAnsi="Arial" w:cs="Arial"/>
          <w:spacing w:val="-7"/>
        </w:rPr>
        <w:t xml:space="preserve"> </w:t>
      </w:r>
      <w:r w:rsidRPr="00B81D3D">
        <w:rPr>
          <w:rFonts w:ascii="Arial" w:hAnsi="Arial" w:cs="Arial"/>
        </w:rPr>
        <w:t>stools</w:t>
      </w:r>
      <w:r w:rsidRPr="00B81D3D">
        <w:rPr>
          <w:rFonts w:ascii="Arial" w:hAnsi="Arial" w:cs="Arial"/>
          <w:spacing w:val="-8"/>
        </w:rPr>
        <w:t xml:space="preserve"> </w:t>
      </w:r>
      <w:r w:rsidRPr="00B81D3D">
        <w:rPr>
          <w:rFonts w:ascii="Arial" w:hAnsi="Arial" w:cs="Arial"/>
        </w:rPr>
        <w:t>for</w:t>
      </w:r>
      <w:r w:rsidRPr="00B81D3D">
        <w:rPr>
          <w:rFonts w:ascii="Arial" w:hAnsi="Arial" w:cs="Arial"/>
          <w:spacing w:val="-5"/>
        </w:rPr>
        <w:t xml:space="preserve"> </w:t>
      </w:r>
      <w:r w:rsidRPr="00B81D3D">
        <w:rPr>
          <w:rFonts w:ascii="Arial" w:hAnsi="Arial" w:cs="Arial"/>
        </w:rPr>
        <w:t>three</w:t>
      </w:r>
      <w:r w:rsidRPr="00B81D3D">
        <w:rPr>
          <w:rFonts w:ascii="Arial" w:hAnsi="Arial" w:cs="Arial"/>
          <w:spacing w:val="-6"/>
        </w:rPr>
        <w:t xml:space="preserve"> </w:t>
      </w:r>
      <w:r w:rsidRPr="00B81D3D">
        <w:rPr>
          <w:rFonts w:ascii="Arial" w:hAnsi="Arial" w:cs="Arial"/>
        </w:rPr>
        <w:t>days.</w:t>
      </w:r>
      <w:r w:rsidRPr="00B81D3D">
        <w:rPr>
          <w:rFonts w:ascii="Arial" w:hAnsi="Arial" w:cs="Arial"/>
          <w:spacing w:val="-7"/>
        </w:rPr>
        <w:t xml:space="preserve"> </w:t>
      </w:r>
      <w:r w:rsidRPr="00B81D3D">
        <w:rPr>
          <w:rFonts w:ascii="Arial" w:hAnsi="Arial" w:cs="Arial"/>
        </w:rPr>
        <w:t>On</w:t>
      </w:r>
      <w:r w:rsidRPr="00B81D3D">
        <w:rPr>
          <w:rFonts w:ascii="Arial" w:hAnsi="Arial" w:cs="Arial"/>
          <w:spacing w:val="-6"/>
        </w:rPr>
        <w:t xml:space="preserve"> </w:t>
      </w:r>
      <w:r w:rsidRPr="00B81D3D">
        <w:rPr>
          <w:rFonts w:ascii="Arial" w:hAnsi="Arial" w:cs="Arial"/>
        </w:rPr>
        <w:t xml:space="preserve">examination, he was conscious, oriented, and his vitals were stable. </w:t>
      </w:r>
      <w:r w:rsidRPr="00B81D3D">
        <w:rPr>
          <w:rFonts w:ascii="Arial" w:hAnsi="Arial" w:cs="Arial"/>
          <w:spacing w:val="-3"/>
        </w:rPr>
        <w:t xml:space="preserve">On </w:t>
      </w:r>
      <w:r w:rsidRPr="00B81D3D">
        <w:rPr>
          <w:rFonts w:ascii="Arial" w:hAnsi="Arial" w:cs="Arial"/>
        </w:rPr>
        <w:t>digital rectal examination, the rectum was empty. Blood examination: WBC was 8.6*10</w:t>
      </w:r>
      <w:r w:rsidRPr="00B81D3D">
        <w:rPr>
          <w:rFonts w:ascii="Arial" w:hAnsi="Arial" w:cs="Arial"/>
          <w:position w:val="5"/>
          <w:sz w:val="13"/>
        </w:rPr>
        <w:t>3</w:t>
      </w:r>
      <w:r w:rsidRPr="00B81D3D">
        <w:rPr>
          <w:rFonts w:ascii="Arial" w:hAnsi="Arial" w:cs="Arial"/>
        </w:rPr>
        <w:t>g/dl, PLT=149*10</w:t>
      </w:r>
      <w:r w:rsidRPr="00B81D3D">
        <w:rPr>
          <w:rFonts w:ascii="Arial" w:hAnsi="Arial" w:cs="Arial"/>
          <w:position w:val="5"/>
          <w:sz w:val="13"/>
        </w:rPr>
        <w:t>3</w:t>
      </w:r>
      <w:r w:rsidRPr="00B81D3D">
        <w:rPr>
          <w:rFonts w:ascii="Arial" w:hAnsi="Arial" w:cs="Arial"/>
        </w:rPr>
        <w:t xml:space="preserve">/ul, </w:t>
      </w:r>
      <w:r w:rsidRPr="00B81D3D">
        <w:rPr>
          <w:rFonts w:ascii="Arial" w:hAnsi="Arial" w:cs="Arial"/>
          <w:spacing w:val="-3"/>
        </w:rPr>
        <w:t xml:space="preserve">CRP </w:t>
      </w:r>
      <w:r w:rsidRPr="00B81D3D">
        <w:rPr>
          <w:rFonts w:ascii="Arial" w:hAnsi="Arial" w:cs="Arial"/>
        </w:rPr>
        <w:t>was 38.60mg/l.</w:t>
      </w:r>
      <w:r w:rsidRPr="00B81D3D">
        <w:rPr>
          <w:rFonts w:ascii="Arial" w:hAnsi="Arial" w:cs="Arial"/>
        </w:rPr>
        <w:t xml:space="preserve"> </w:t>
      </w:r>
      <w:r w:rsidRPr="00B81D3D">
        <w:rPr>
          <w:rFonts w:ascii="Arial" w:hAnsi="Arial" w:cs="Arial"/>
        </w:rPr>
        <w:t>An ultrasound of the abdomen was done which showed dilated hyper-peristaltic small bowel loops of maximum caliber 3.0 cm and wall tickness. There was no</w:t>
      </w:r>
      <w:r w:rsidRPr="00B81D3D">
        <w:rPr>
          <w:rFonts w:ascii="Arial" w:hAnsi="Arial" w:cs="Arial"/>
        </w:rPr>
        <w:t xml:space="preserve"> </w:t>
      </w:r>
      <w:r w:rsidRPr="00B81D3D">
        <w:rPr>
          <w:rFonts w:ascii="Arial" w:hAnsi="Arial" w:cs="Arial"/>
        </w:rPr>
        <w:t>free-fluid in the peritoneal cavity. Plain x-ray of the abdomen: Multiple air-fluid level in the small bowel loops.</w:t>
      </w:r>
      <w:r w:rsidRPr="00B81D3D">
        <w:rPr>
          <w:rFonts w:ascii="Arial" w:hAnsi="Arial" w:cs="Arial"/>
        </w:rPr>
        <w:t xml:space="preserve"> </w:t>
      </w:r>
      <w:r w:rsidRPr="00B81D3D">
        <w:rPr>
          <w:rFonts w:ascii="Arial" w:hAnsi="Arial" w:cs="Arial"/>
        </w:rPr>
        <w:t>We are the patient was decided for an emergency exploratory laparotomy. Intraoperatively, there were no bowel adhesions. A 3×1.5 cm well-defined firm intraluminal mass was palpable in the ileum about 15 cm proximal to the ileocaecal junction. The bowel loops proximal to the mass were dilated and the loops distal to it</w:t>
      </w:r>
      <w:r w:rsidRPr="00B81D3D">
        <w:rPr>
          <w:rFonts w:ascii="Arial" w:hAnsi="Arial" w:cs="Arial"/>
        </w:rPr>
        <w:t xml:space="preserve"> </w:t>
      </w:r>
      <w:r w:rsidRPr="00B81D3D">
        <w:rPr>
          <w:rFonts w:ascii="Arial" w:hAnsi="Arial" w:cs="Arial"/>
        </w:rPr>
        <w:t>were collapsed. The mass was motionless and softer, was found impacted at the transition area in the bowel. This mass was may be bowel cancer, therefore we decided right hemicolectomy operation. Operation: Exploratory laparotomy, right colectomy, anastomosis side to side.</w:t>
      </w:r>
    </w:p>
    <w:p w14:paraId="11B08BFD" w14:textId="6E680B91" w:rsidR="00B81D3D" w:rsidRPr="00B81D3D" w:rsidRDefault="00B81D3D" w:rsidP="00B81D3D">
      <w:pPr>
        <w:rPr>
          <w:rFonts w:ascii="Arial" w:hAnsi="Arial" w:cs="Arial"/>
        </w:rPr>
      </w:pPr>
      <w:r w:rsidRPr="00421E60">
        <w:rPr>
          <w:rFonts w:ascii="Arial" w:hAnsi="Arial" w:cs="Arial"/>
          <w:b/>
          <w:bCs/>
        </w:rPr>
        <w:t>Histology</w:t>
      </w:r>
      <w:r w:rsidRPr="00B81D3D">
        <w:rPr>
          <w:rFonts w:ascii="Arial" w:hAnsi="Arial" w:cs="Arial"/>
        </w:rPr>
        <w:t>:</w:t>
      </w:r>
    </w:p>
    <w:p w14:paraId="41BB6DF5" w14:textId="77777777" w:rsidR="00B81D3D" w:rsidRPr="00B81D3D" w:rsidRDefault="00B81D3D" w:rsidP="00B81D3D">
      <w:pPr>
        <w:pStyle w:val="ListParagraph"/>
        <w:numPr>
          <w:ilvl w:val="0"/>
          <w:numId w:val="1"/>
        </w:numPr>
        <w:tabs>
          <w:tab w:val="left" w:pos="500"/>
          <w:tab w:val="left" w:pos="501"/>
        </w:tabs>
        <w:spacing w:line="245" w:lineRule="exact"/>
        <w:ind w:right="0" w:hanging="361"/>
        <w:jc w:val="left"/>
        <w:rPr>
          <w:rFonts w:ascii="Arial" w:hAnsi="Arial" w:cs="Arial"/>
        </w:rPr>
      </w:pPr>
      <w:r w:rsidRPr="00B81D3D">
        <w:rPr>
          <w:rFonts w:ascii="Arial" w:hAnsi="Arial" w:cs="Arial"/>
        </w:rPr>
        <w:t>Small</w:t>
      </w:r>
      <w:r w:rsidRPr="00B81D3D">
        <w:rPr>
          <w:rFonts w:ascii="Arial" w:hAnsi="Arial" w:cs="Arial"/>
          <w:spacing w:val="-4"/>
        </w:rPr>
        <w:t xml:space="preserve"> </w:t>
      </w:r>
      <w:r w:rsidRPr="00B81D3D">
        <w:rPr>
          <w:rFonts w:ascii="Arial" w:hAnsi="Arial" w:cs="Arial"/>
        </w:rPr>
        <w:t>bowel:</w:t>
      </w:r>
      <w:r w:rsidRPr="00B81D3D">
        <w:rPr>
          <w:rFonts w:ascii="Arial" w:hAnsi="Arial" w:cs="Arial"/>
          <w:spacing w:val="-3"/>
        </w:rPr>
        <w:t xml:space="preserve"> </w:t>
      </w:r>
      <w:r w:rsidRPr="00B81D3D">
        <w:rPr>
          <w:rFonts w:ascii="Arial" w:hAnsi="Arial" w:cs="Arial"/>
        </w:rPr>
        <w:t>Tubulo-villous</w:t>
      </w:r>
      <w:r w:rsidRPr="00B81D3D">
        <w:rPr>
          <w:rFonts w:ascii="Arial" w:hAnsi="Arial" w:cs="Arial"/>
          <w:spacing w:val="-1"/>
        </w:rPr>
        <w:t xml:space="preserve"> </w:t>
      </w:r>
      <w:r w:rsidRPr="00B81D3D">
        <w:rPr>
          <w:rFonts w:ascii="Arial" w:hAnsi="Arial" w:cs="Arial"/>
        </w:rPr>
        <w:t>adenoma</w:t>
      </w:r>
      <w:r w:rsidRPr="00B81D3D">
        <w:rPr>
          <w:rFonts w:ascii="Arial" w:hAnsi="Arial" w:cs="Arial"/>
          <w:spacing w:val="-5"/>
        </w:rPr>
        <w:t xml:space="preserve"> </w:t>
      </w:r>
      <w:r w:rsidRPr="00B81D3D">
        <w:rPr>
          <w:rFonts w:ascii="Arial" w:hAnsi="Arial" w:cs="Arial"/>
        </w:rPr>
        <w:t>with</w:t>
      </w:r>
      <w:r w:rsidRPr="00B81D3D">
        <w:rPr>
          <w:rFonts w:ascii="Arial" w:hAnsi="Arial" w:cs="Arial"/>
          <w:spacing w:val="-3"/>
        </w:rPr>
        <w:t xml:space="preserve"> </w:t>
      </w:r>
      <w:r w:rsidRPr="00B81D3D">
        <w:rPr>
          <w:rFonts w:ascii="Arial" w:hAnsi="Arial" w:cs="Arial"/>
        </w:rPr>
        <w:t>low</w:t>
      </w:r>
      <w:r w:rsidRPr="00B81D3D">
        <w:rPr>
          <w:rFonts w:ascii="Arial" w:hAnsi="Arial" w:cs="Arial"/>
          <w:spacing w:val="-4"/>
        </w:rPr>
        <w:t xml:space="preserve"> </w:t>
      </w:r>
      <w:r w:rsidRPr="00B81D3D">
        <w:rPr>
          <w:rFonts w:ascii="Arial" w:hAnsi="Arial" w:cs="Arial"/>
        </w:rPr>
        <w:t>grade</w:t>
      </w:r>
      <w:r w:rsidRPr="00B81D3D">
        <w:rPr>
          <w:rFonts w:ascii="Arial" w:hAnsi="Arial" w:cs="Arial"/>
          <w:spacing w:val="-5"/>
        </w:rPr>
        <w:t xml:space="preserve"> </w:t>
      </w:r>
      <w:r w:rsidRPr="00B81D3D">
        <w:rPr>
          <w:rFonts w:ascii="Arial" w:hAnsi="Arial" w:cs="Arial"/>
        </w:rPr>
        <w:t>dysplasia.</w:t>
      </w:r>
      <w:r w:rsidRPr="00B81D3D">
        <w:rPr>
          <w:rFonts w:ascii="Arial" w:hAnsi="Arial" w:cs="Arial"/>
          <w:spacing w:val="-1"/>
        </w:rPr>
        <w:t xml:space="preserve"> </w:t>
      </w:r>
      <w:r w:rsidRPr="00B81D3D">
        <w:rPr>
          <w:rFonts w:ascii="Arial" w:hAnsi="Arial" w:cs="Arial"/>
        </w:rPr>
        <w:t>Perifocal</w:t>
      </w:r>
      <w:r w:rsidRPr="00B81D3D">
        <w:rPr>
          <w:rFonts w:ascii="Arial" w:hAnsi="Arial" w:cs="Arial"/>
          <w:spacing w:val="-3"/>
        </w:rPr>
        <w:t xml:space="preserve"> </w:t>
      </w:r>
      <w:r w:rsidRPr="00B81D3D">
        <w:rPr>
          <w:rFonts w:ascii="Arial" w:hAnsi="Arial" w:cs="Arial"/>
        </w:rPr>
        <w:t>ulcerative</w:t>
      </w:r>
      <w:r w:rsidRPr="00B81D3D">
        <w:rPr>
          <w:rFonts w:ascii="Arial" w:hAnsi="Arial" w:cs="Arial"/>
          <w:spacing w:val="-5"/>
        </w:rPr>
        <w:t xml:space="preserve"> </w:t>
      </w:r>
      <w:r w:rsidRPr="00B81D3D">
        <w:rPr>
          <w:rFonts w:ascii="Arial" w:hAnsi="Arial" w:cs="Arial"/>
        </w:rPr>
        <w:t>ileitis, hemodynamic disorders.</w:t>
      </w:r>
    </w:p>
    <w:p w14:paraId="3BED29DA" w14:textId="4E04C3CD" w:rsidR="00B81D3D" w:rsidRPr="00B81D3D" w:rsidRDefault="00B81D3D" w:rsidP="00B81D3D">
      <w:pPr>
        <w:pStyle w:val="ListParagraph"/>
        <w:numPr>
          <w:ilvl w:val="0"/>
          <w:numId w:val="1"/>
        </w:numPr>
        <w:tabs>
          <w:tab w:val="left" w:pos="500"/>
          <w:tab w:val="left" w:pos="501"/>
        </w:tabs>
        <w:spacing w:line="245" w:lineRule="exact"/>
        <w:ind w:right="0" w:hanging="361"/>
        <w:jc w:val="left"/>
        <w:rPr>
          <w:rFonts w:ascii="Arial" w:hAnsi="Arial" w:cs="Arial"/>
        </w:rPr>
      </w:pPr>
      <w:r w:rsidRPr="00B81D3D">
        <w:rPr>
          <w:rFonts w:ascii="Arial" w:hAnsi="Arial" w:cs="Arial"/>
        </w:rPr>
        <w:t>Cecum:</w:t>
      </w:r>
      <w:r w:rsidRPr="00B81D3D">
        <w:rPr>
          <w:rFonts w:ascii="Arial" w:hAnsi="Arial" w:cs="Arial"/>
          <w:spacing w:val="-6"/>
        </w:rPr>
        <w:t xml:space="preserve"> </w:t>
      </w:r>
      <w:r w:rsidRPr="00B81D3D">
        <w:rPr>
          <w:rFonts w:ascii="Arial" w:hAnsi="Arial" w:cs="Arial"/>
        </w:rPr>
        <w:t>Congestion</w:t>
      </w:r>
    </w:p>
    <w:p w14:paraId="4EC0B304" w14:textId="77777777" w:rsidR="00421E60" w:rsidRDefault="00421E60" w:rsidP="00B81D3D">
      <w:pPr>
        <w:tabs>
          <w:tab w:val="left" w:pos="500"/>
          <w:tab w:val="left" w:pos="501"/>
        </w:tabs>
        <w:spacing w:line="245" w:lineRule="exact"/>
        <w:rPr>
          <w:rFonts w:ascii="Arial" w:hAnsi="Arial" w:cs="Arial"/>
        </w:rPr>
      </w:pPr>
    </w:p>
    <w:p w14:paraId="27D869B0" w14:textId="0555FC67" w:rsidR="00B81D3D" w:rsidRPr="00421E60" w:rsidRDefault="00B81D3D" w:rsidP="00B81D3D">
      <w:pPr>
        <w:tabs>
          <w:tab w:val="left" w:pos="500"/>
          <w:tab w:val="left" w:pos="501"/>
        </w:tabs>
        <w:spacing w:line="245" w:lineRule="exact"/>
        <w:rPr>
          <w:rFonts w:ascii="Arial" w:hAnsi="Arial" w:cs="Arial"/>
          <w:b/>
          <w:bCs/>
        </w:rPr>
      </w:pPr>
      <w:r w:rsidRPr="00421E60">
        <w:rPr>
          <w:rFonts w:ascii="Arial" w:hAnsi="Arial" w:cs="Arial"/>
          <w:b/>
          <w:bCs/>
        </w:rPr>
        <w:lastRenderedPageBreak/>
        <w:t>Discussion:</w:t>
      </w:r>
    </w:p>
    <w:p w14:paraId="50076337" w14:textId="5E2523C7" w:rsidR="00B81D3D" w:rsidRPr="00B81D3D" w:rsidRDefault="00B81D3D" w:rsidP="00421E60">
      <w:pPr>
        <w:tabs>
          <w:tab w:val="left" w:pos="500"/>
          <w:tab w:val="left" w:pos="501"/>
        </w:tabs>
        <w:spacing w:line="245" w:lineRule="exact"/>
        <w:jc w:val="both"/>
        <w:rPr>
          <w:rFonts w:ascii="Arial" w:hAnsi="Arial" w:cs="Arial"/>
          <w:sz w:val="20"/>
        </w:rPr>
      </w:pPr>
      <w:r w:rsidRPr="00B81D3D">
        <w:rPr>
          <w:rFonts w:ascii="Arial" w:hAnsi="Arial" w:cs="Arial"/>
        </w:rPr>
        <w:t xml:space="preserve">Small bowel adenoma was first described by Perry in 1893 and was named as duodenal papilloma [1.2]. The adenoma is usually located in the colon[3-4]. However, during endoscopic examination, 0.4% occur in the duodenum [1.3.4]. </w:t>
      </w:r>
      <w:r w:rsidRPr="00B81D3D">
        <w:rPr>
          <w:rFonts w:ascii="Arial" w:hAnsi="Arial" w:cs="Arial"/>
          <w:color w:val="090904"/>
        </w:rPr>
        <w:t xml:space="preserve">Adenomas make up about one-third of benign tumors and occur in all parts of the small bowel [4.7]. </w:t>
      </w:r>
      <w:r w:rsidRPr="00B81D3D">
        <w:rPr>
          <w:rFonts w:ascii="Arial" w:hAnsi="Arial" w:cs="Arial"/>
          <w:color w:val="090904"/>
          <w:spacing w:val="-3"/>
        </w:rPr>
        <w:t xml:space="preserve">They </w:t>
      </w:r>
      <w:r w:rsidRPr="00B81D3D">
        <w:rPr>
          <w:rFonts w:ascii="Arial" w:hAnsi="Arial" w:cs="Arial"/>
          <w:color w:val="090904"/>
        </w:rPr>
        <w:t xml:space="preserve">make up &lt;10% of all duodenal polyps, although they are most commonly located in the second part of </w:t>
      </w:r>
      <w:r w:rsidRPr="00B81D3D">
        <w:rPr>
          <w:rFonts w:ascii="Arial" w:hAnsi="Arial" w:cs="Arial"/>
          <w:color w:val="090904"/>
          <w:spacing w:val="-3"/>
        </w:rPr>
        <w:t xml:space="preserve">the </w:t>
      </w:r>
      <w:r w:rsidRPr="00B81D3D">
        <w:rPr>
          <w:rFonts w:ascii="Arial" w:hAnsi="Arial" w:cs="Arial"/>
          <w:color w:val="090904"/>
        </w:rPr>
        <w:t>duodenum, particularly in the vicinity of the ampulla of Vater, which is the site of 80% of all small bowel</w:t>
      </w:r>
      <w:r w:rsidRPr="00B81D3D">
        <w:rPr>
          <w:rFonts w:ascii="Arial" w:hAnsi="Arial" w:cs="Arial"/>
          <w:color w:val="090904"/>
          <w:spacing w:val="-28"/>
        </w:rPr>
        <w:t xml:space="preserve"> </w:t>
      </w:r>
      <w:r w:rsidRPr="00B81D3D">
        <w:rPr>
          <w:rFonts w:ascii="Arial" w:hAnsi="Arial" w:cs="Arial"/>
          <w:color w:val="090904"/>
        </w:rPr>
        <w:t xml:space="preserve">adenomas [7-9]. Of these, two-thirds are periampullary, possibly reflecting exposure to bile [2.6]. </w:t>
      </w:r>
      <w:r w:rsidRPr="00B81D3D">
        <w:rPr>
          <w:rFonts w:ascii="Arial" w:hAnsi="Arial" w:cs="Arial"/>
        </w:rPr>
        <w:t>Surgical series of resected ampullary</w:t>
      </w:r>
      <w:r w:rsidRPr="00B81D3D">
        <w:rPr>
          <w:rFonts w:ascii="Arial" w:hAnsi="Arial" w:cs="Arial"/>
          <w:spacing w:val="-13"/>
        </w:rPr>
        <w:t xml:space="preserve"> </w:t>
      </w:r>
      <w:r w:rsidRPr="00B81D3D">
        <w:rPr>
          <w:rFonts w:ascii="Arial" w:hAnsi="Arial" w:cs="Arial"/>
        </w:rPr>
        <w:t>adenoma</w:t>
      </w:r>
      <w:r w:rsidRPr="00B81D3D">
        <w:rPr>
          <w:rFonts w:ascii="Arial" w:hAnsi="Arial" w:cs="Arial"/>
          <w:spacing w:val="-8"/>
        </w:rPr>
        <w:t xml:space="preserve"> </w:t>
      </w:r>
      <w:r w:rsidRPr="00B81D3D">
        <w:rPr>
          <w:rFonts w:ascii="Arial" w:hAnsi="Arial" w:cs="Arial"/>
        </w:rPr>
        <w:t>report</w:t>
      </w:r>
      <w:r w:rsidRPr="00B81D3D">
        <w:rPr>
          <w:rFonts w:ascii="Arial" w:hAnsi="Arial" w:cs="Arial"/>
          <w:spacing w:val="-13"/>
        </w:rPr>
        <w:t xml:space="preserve"> </w:t>
      </w:r>
      <w:r w:rsidRPr="00B81D3D">
        <w:rPr>
          <w:rFonts w:ascii="Arial" w:hAnsi="Arial" w:cs="Arial"/>
        </w:rPr>
        <w:t>in</w:t>
      </w:r>
      <w:r w:rsidRPr="00B81D3D">
        <w:rPr>
          <w:rFonts w:ascii="Arial" w:hAnsi="Arial" w:cs="Arial"/>
          <w:spacing w:val="-8"/>
        </w:rPr>
        <w:t xml:space="preserve"> </w:t>
      </w:r>
      <w:r w:rsidRPr="00B81D3D">
        <w:rPr>
          <w:rFonts w:ascii="Arial" w:hAnsi="Arial" w:cs="Arial"/>
        </w:rPr>
        <w:t>situ</w:t>
      </w:r>
      <w:r w:rsidRPr="00B81D3D">
        <w:rPr>
          <w:rFonts w:ascii="Arial" w:hAnsi="Arial" w:cs="Arial"/>
          <w:spacing w:val="-12"/>
        </w:rPr>
        <w:t xml:space="preserve"> </w:t>
      </w:r>
      <w:r w:rsidRPr="00B81D3D">
        <w:rPr>
          <w:rFonts w:ascii="Arial" w:hAnsi="Arial" w:cs="Arial"/>
        </w:rPr>
        <w:t>or</w:t>
      </w:r>
      <w:r w:rsidRPr="00B81D3D">
        <w:rPr>
          <w:rFonts w:ascii="Arial" w:hAnsi="Arial" w:cs="Arial"/>
          <w:spacing w:val="-9"/>
        </w:rPr>
        <w:t xml:space="preserve"> </w:t>
      </w:r>
      <w:r w:rsidRPr="00B81D3D">
        <w:rPr>
          <w:rFonts w:ascii="Arial" w:hAnsi="Arial" w:cs="Arial"/>
        </w:rPr>
        <w:t>frank</w:t>
      </w:r>
      <w:r w:rsidRPr="00B81D3D">
        <w:rPr>
          <w:rFonts w:ascii="Arial" w:hAnsi="Arial" w:cs="Arial"/>
          <w:spacing w:val="-9"/>
        </w:rPr>
        <w:t xml:space="preserve"> </w:t>
      </w:r>
      <w:r w:rsidRPr="00B81D3D">
        <w:rPr>
          <w:rFonts w:ascii="Arial" w:hAnsi="Arial" w:cs="Arial"/>
        </w:rPr>
        <w:t>adenocarcinoma in 34–40% of patients [7]. Local recurrence is common for periampullary adenomas treated with excision only: 40% at 10 years, 25% of which were malignant, in a recent retrospective series from the Mayo clinic</w:t>
      </w:r>
      <w:r>
        <w:rPr>
          <w:rFonts w:ascii="Arial" w:hAnsi="Arial" w:cs="Arial"/>
        </w:rPr>
        <w:t>s</w:t>
      </w:r>
      <w:r w:rsidRPr="00B81D3D">
        <w:rPr>
          <w:rFonts w:ascii="Arial" w:hAnsi="Arial" w:cs="Arial"/>
        </w:rPr>
        <w:t>.</w:t>
      </w:r>
    </w:p>
    <w:p w14:paraId="167337DF" w14:textId="77777777" w:rsidR="00B81D3D" w:rsidRPr="00B81D3D" w:rsidRDefault="00B81D3D" w:rsidP="00B81D3D">
      <w:pPr>
        <w:rPr>
          <w:rFonts w:ascii="Arial" w:hAnsi="Arial" w:cs="Arial"/>
        </w:rPr>
      </w:pPr>
    </w:p>
    <w:p w14:paraId="12068E61" w14:textId="77777777" w:rsidR="00B81D3D" w:rsidRPr="00B81D3D" w:rsidRDefault="00B81D3D" w:rsidP="00B81D3D">
      <w:pPr>
        <w:rPr>
          <w:rFonts w:ascii="Arial" w:hAnsi="Arial" w:cs="Arial"/>
        </w:rPr>
      </w:pPr>
    </w:p>
    <w:p w14:paraId="479102EB" w14:textId="063E3E56" w:rsidR="00B81D3D" w:rsidRPr="00B81D3D" w:rsidRDefault="00B81D3D" w:rsidP="00B81D3D">
      <w:pPr>
        <w:rPr>
          <w:rFonts w:ascii="Arial" w:hAnsi="Arial" w:cs="Arial"/>
        </w:rPr>
      </w:pPr>
    </w:p>
    <w:p w14:paraId="45AE787B" w14:textId="77777777" w:rsidR="00B81D3D" w:rsidRPr="00B81D3D" w:rsidRDefault="00B81D3D" w:rsidP="00B81D3D">
      <w:pPr>
        <w:rPr>
          <w:rFonts w:ascii="Arial" w:hAnsi="Arial" w:cs="Arial"/>
        </w:rPr>
      </w:pPr>
    </w:p>
    <w:p w14:paraId="1DFF56D0" w14:textId="77777777" w:rsidR="00B81D3D" w:rsidRPr="00B81D3D" w:rsidRDefault="00B81D3D">
      <w:pPr>
        <w:rPr>
          <w:rFonts w:ascii="Arial" w:hAnsi="Arial" w:cs="Arial"/>
        </w:rPr>
      </w:pPr>
    </w:p>
    <w:p w14:paraId="2D05F1F6" w14:textId="77777777" w:rsidR="00B81D3D" w:rsidRPr="00B81D3D" w:rsidRDefault="00B81D3D">
      <w:pPr>
        <w:rPr>
          <w:rFonts w:ascii="Arial" w:hAnsi="Arial" w:cs="Arial"/>
        </w:rPr>
      </w:pPr>
    </w:p>
    <w:sectPr w:rsidR="00B81D3D" w:rsidRPr="00B81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adea">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C1936"/>
    <w:multiLevelType w:val="hybridMultilevel"/>
    <w:tmpl w:val="C0202258"/>
    <w:lvl w:ilvl="0" w:tplc="E466BF70">
      <w:numFmt w:val="bullet"/>
      <w:lvlText w:val=""/>
      <w:lvlJc w:val="left"/>
      <w:pPr>
        <w:ind w:left="500" w:hanging="360"/>
      </w:pPr>
      <w:rPr>
        <w:rFonts w:ascii="Symbol" w:eastAsia="Symbol" w:hAnsi="Symbol" w:cs="Symbol" w:hint="default"/>
        <w:w w:val="100"/>
        <w:sz w:val="20"/>
        <w:szCs w:val="20"/>
        <w:lang w:val="en-US" w:eastAsia="en-US" w:bidi="ar-SA"/>
      </w:rPr>
    </w:lvl>
    <w:lvl w:ilvl="1" w:tplc="A8A68F7A">
      <w:numFmt w:val="bullet"/>
      <w:lvlText w:val="•"/>
      <w:lvlJc w:val="left"/>
      <w:pPr>
        <w:ind w:left="1524" w:hanging="360"/>
      </w:pPr>
      <w:rPr>
        <w:rFonts w:hint="default"/>
        <w:lang w:val="en-US" w:eastAsia="en-US" w:bidi="ar-SA"/>
      </w:rPr>
    </w:lvl>
    <w:lvl w:ilvl="2" w:tplc="E7B0F3E2">
      <w:numFmt w:val="bullet"/>
      <w:lvlText w:val="•"/>
      <w:lvlJc w:val="left"/>
      <w:pPr>
        <w:ind w:left="2548" w:hanging="360"/>
      </w:pPr>
      <w:rPr>
        <w:rFonts w:hint="default"/>
        <w:lang w:val="en-US" w:eastAsia="en-US" w:bidi="ar-SA"/>
      </w:rPr>
    </w:lvl>
    <w:lvl w:ilvl="3" w:tplc="EDE40496">
      <w:numFmt w:val="bullet"/>
      <w:lvlText w:val="•"/>
      <w:lvlJc w:val="left"/>
      <w:pPr>
        <w:ind w:left="3573" w:hanging="360"/>
      </w:pPr>
      <w:rPr>
        <w:rFonts w:hint="default"/>
        <w:lang w:val="en-US" w:eastAsia="en-US" w:bidi="ar-SA"/>
      </w:rPr>
    </w:lvl>
    <w:lvl w:ilvl="4" w:tplc="5AC0CED4">
      <w:numFmt w:val="bullet"/>
      <w:lvlText w:val="•"/>
      <w:lvlJc w:val="left"/>
      <w:pPr>
        <w:ind w:left="4597" w:hanging="360"/>
      </w:pPr>
      <w:rPr>
        <w:rFonts w:hint="default"/>
        <w:lang w:val="en-US" w:eastAsia="en-US" w:bidi="ar-SA"/>
      </w:rPr>
    </w:lvl>
    <w:lvl w:ilvl="5" w:tplc="59023EF8">
      <w:numFmt w:val="bullet"/>
      <w:lvlText w:val="•"/>
      <w:lvlJc w:val="left"/>
      <w:pPr>
        <w:ind w:left="5622" w:hanging="360"/>
      </w:pPr>
      <w:rPr>
        <w:rFonts w:hint="default"/>
        <w:lang w:val="en-US" w:eastAsia="en-US" w:bidi="ar-SA"/>
      </w:rPr>
    </w:lvl>
    <w:lvl w:ilvl="6" w:tplc="42A40C06">
      <w:numFmt w:val="bullet"/>
      <w:lvlText w:val="•"/>
      <w:lvlJc w:val="left"/>
      <w:pPr>
        <w:ind w:left="6646" w:hanging="360"/>
      </w:pPr>
      <w:rPr>
        <w:rFonts w:hint="default"/>
        <w:lang w:val="en-US" w:eastAsia="en-US" w:bidi="ar-SA"/>
      </w:rPr>
    </w:lvl>
    <w:lvl w:ilvl="7" w:tplc="BDEC8FA8">
      <w:numFmt w:val="bullet"/>
      <w:lvlText w:val="•"/>
      <w:lvlJc w:val="left"/>
      <w:pPr>
        <w:ind w:left="7670" w:hanging="360"/>
      </w:pPr>
      <w:rPr>
        <w:rFonts w:hint="default"/>
        <w:lang w:val="en-US" w:eastAsia="en-US" w:bidi="ar-SA"/>
      </w:rPr>
    </w:lvl>
    <w:lvl w:ilvl="8" w:tplc="845AE3EA">
      <w:numFmt w:val="bullet"/>
      <w:lvlText w:val="•"/>
      <w:lvlJc w:val="left"/>
      <w:pPr>
        <w:ind w:left="869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3D"/>
    <w:rsid w:val="002C717D"/>
    <w:rsid w:val="00421E60"/>
    <w:rsid w:val="00B81D3D"/>
    <w:rsid w:val="00E04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F134"/>
  <w15:chartTrackingRefBased/>
  <w15:docId w15:val="{4131D6F5-A19A-448E-A224-BDF4E654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81D3D"/>
    <w:pPr>
      <w:widowControl w:val="0"/>
      <w:autoSpaceDE w:val="0"/>
      <w:autoSpaceDN w:val="0"/>
      <w:spacing w:after="0" w:line="240" w:lineRule="auto"/>
      <w:ind w:left="140"/>
      <w:outlineLvl w:val="0"/>
    </w:pPr>
    <w:rPr>
      <w:rFonts w:ascii="Caladea" w:eastAsia="Caladea" w:hAnsi="Caladea" w:cs="Calade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1D3D"/>
    <w:pPr>
      <w:widowControl w:val="0"/>
      <w:autoSpaceDE w:val="0"/>
      <w:autoSpaceDN w:val="0"/>
      <w:spacing w:after="0" w:line="240" w:lineRule="auto"/>
    </w:pPr>
    <w:rPr>
      <w:rFonts w:ascii="Caladea" w:eastAsia="Caladea" w:hAnsi="Caladea" w:cs="Caladea"/>
      <w:sz w:val="20"/>
      <w:szCs w:val="20"/>
    </w:rPr>
  </w:style>
  <w:style w:type="character" w:customStyle="1" w:styleId="BodyTextChar">
    <w:name w:val="Body Text Char"/>
    <w:basedOn w:val="DefaultParagraphFont"/>
    <w:link w:val="BodyText"/>
    <w:uiPriority w:val="1"/>
    <w:rsid w:val="00B81D3D"/>
    <w:rPr>
      <w:rFonts w:ascii="Caladea" w:eastAsia="Caladea" w:hAnsi="Caladea" w:cs="Caladea"/>
      <w:sz w:val="20"/>
      <w:szCs w:val="20"/>
    </w:rPr>
  </w:style>
  <w:style w:type="paragraph" w:styleId="ListParagraph">
    <w:name w:val="List Paragraph"/>
    <w:basedOn w:val="Normal"/>
    <w:uiPriority w:val="1"/>
    <w:qFormat/>
    <w:rsid w:val="00B81D3D"/>
    <w:pPr>
      <w:widowControl w:val="0"/>
      <w:autoSpaceDE w:val="0"/>
      <w:autoSpaceDN w:val="0"/>
      <w:spacing w:after="0" w:line="240" w:lineRule="auto"/>
      <w:ind w:left="500" w:right="132" w:hanging="360"/>
      <w:jc w:val="both"/>
    </w:pPr>
    <w:rPr>
      <w:rFonts w:ascii="Caladea" w:eastAsia="Caladea" w:hAnsi="Caladea" w:cs="Caladea"/>
    </w:rPr>
  </w:style>
  <w:style w:type="paragraph" w:styleId="Title">
    <w:name w:val="Title"/>
    <w:basedOn w:val="Normal"/>
    <w:link w:val="TitleChar"/>
    <w:uiPriority w:val="10"/>
    <w:qFormat/>
    <w:rsid w:val="00B81D3D"/>
    <w:pPr>
      <w:widowControl w:val="0"/>
      <w:autoSpaceDE w:val="0"/>
      <w:autoSpaceDN w:val="0"/>
      <w:spacing w:before="80" w:after="0" w:line="240" w:lineRule="auto"/>
      <w:ind w:left="1215"/>
    </w:pPr>
    <w:rPr>
      <w:rFonts w:ascii="Caladea" w:eastAsia="Caladea" w:hAnsi="Caladea" w:cs="Caladea"/>
      <w:b/>
      <w:bCs/>
      <w:sz w:val="30"/>
      <w:szCs w:val="30"/>
    </w:rPr>
  </w:style>
  <w:style w:type="character" w:customStyle="1" w:styleId="TitleChar">
    <w:name w:val="Title Char"/>
    <w:basedOn w:val="DefaultParagraphFont"/>
    <w:link w:val="Title"/>
    <w:uiPriority w:val="10"/>
    <w:rsid w:val="00B81D3D"/>
    <w:rPr>
      <w:rFonts w:ascii="Caladea" w:eastAsia="Caladea" w:hAnsi="Caladea" w:cs="Caladea"/>
      <w:b/>
      <w:bCs/>
      <w:sz w:val="30"/>
      <w:szCs w:val="30"/>
    </w:rPr>
  </w:style>
  <w:style w:type="character" w:customStyle="1" w:styleId="Heading1Char">
    <w:name w:val="Heading 1 Char"/>
    <w:basedOn w:val="DefaultParagraphFont"/>
    <w:link w:val="Heading1"/>
    <w:uiPriority w:val="9"/>
    <w:rsid w:val="00B81D3D"/>
    <w:rPr>
      <w:rFonts w:ascii="Caladea" w:eastAsia="Caladea" w:hAnsi="Caladea" w:cs="Calade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gl_bayana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Oyunbileg Davaatseren</dc:creator>
  <cp:keywords/>
  <dc:description/>
  <cp:lastModifiedBy>Oyunbileg Davaatseren</cp:lastModifiedBy>
  <cp:revision>2</cp:revision>
  <dcterms:created xsi:type="dcterms:W3CDTF">2021-01-22T10:22:00Z</dcterms:created>
  <dcterms:modified xsi:type="dcterms:W3CDTF">2021-01-22T10:31:00Z</dcterms:modified>
</cp:coreProperties>
</file>