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r>
        <w:rPr>
          <w:rFonts w:hint="eastAsia"/>
          <w:lang w:val="en-US" w:eastAsia="zh-CN"/>
        </w:rPr>
        <w:t>Management strategy of gallbladder polypoid lesions: novel insights into an old story</w:t>
      </w:r>
    </w:p>
    <w:p>
      <w:pPr>
        <w:rPr>
          <w:rFonts w:hint="eastAsia"/>
          <w:lang w:val="en-US" w:eastAsia="zh-CN"/>
        </w:rPr>
      </w:pPr>
      <w:r>
        <w:rPr>
          <w:rFonts w:hint="eastAsia"/>
          <w:lang w:val="en-US" w:eastAsia="zh-CN"/>
        </w:rPr>
        <w:t>Qiang Qu, Feng Tian, Weijie Chen, Jianchun Xiao, Wei Liu, Tao Hong, Xiaodong He</w:t>
      </w:r>
    </w:p>
    <w:p>
      <w:pPr>
        <w:rPr>
          <w:rFonts w:hint="eastAsia"/>
          <w:lang w:val="en-US" w:eastAsia="zh-CN"/>
        </w:rPr>
      </w:pPr>
    </w:p>
    <w:p>
      <w:pPr>
        <w:rPr>
          <w:rFonts w:hint="eastAsia"/>
          <w:lang w:val="en-US" w:eastAsia="zh-CN"/>
        </w:rPr>
      </w:pPr>
      <w:r>
        <w:rPr>
          <w:rFonts w:hint="eastAsia"/>
          <w:lang w:val="en-US" w:eastAsia="zh-CN"/>
        </w:rPr>
        <w:t>Department of General Surgery, Peking Union Medical College Hospital, Beijing, 100730, China</w:t>
      </w:r>
    </w:p>
    <w:p>
      <w:pPr>
        <w:rPr>
          <w:rFonts w:hint="eastAsia"/>
          <w:lang w:val="en-US" w:eastAsia="zh-CN"/>
        </w:rPr>
      </w:pPr>
    </w:p>
    <w:p>
      <w:pPr>
        <w:rPr>
          <w:rFonts w:hint="default"/>
          <w:lang w:val="en-US" w:eastAsia="zh-CN"/>
        </w:rPr>
      </w:pPr>
      <w:r>
        <w:rPr>
          <w:rFonts w:hint="eastAsia"/>
          <w:lang w:val="en-US" w:eastAsia="zh-CN"/>
        </w:rPr>
        <w:t>Abstract</w:t>
      </w:r>
    </w:p>
    <w:p>
      <w:pPr>
        <w:rPr/>
      </w:pPr>
      <w:r>
        <w:rPr>
          <w:rFonts w:hint="default"/>
          <w:lang w:val="en-US" w:eastAsia="zh-CN"/>
        </w:rPr>
        <w:t xml:space="preserve">Statement of the Problem: Gallbladder polypoid lesions (GPL) are common clinical manifestations. However, controversy remains in the classification, differential diagnosis, and treatment strategy in GPL. The aim of this study was to characterize the pathological profile of GPL after surgery, and to explore the general and individualized treatment strategy of GPL based on our experience. </w:t>
      </w:r>
    </w:p>
    <w:p>
      <w:pPr>
        <w:rPr>
          <w:rFonts w:hint="default"/>
          <w:lang w:val="en-US" w:eastAsia="zh-CN"/>
        </w:rPr>
      </w:pPr>
      <w:r>
        <w:rPr>
          <w:rFonts w:hint="default"/>
          <w:lang w:val="en-US" w:eastAsia="zh-CN"/>
        </w:rPr>
        <w:t>Methodology &amp; Theoretical Orientation: We retrospectively studied 642 consecutive patients with GPLs from January 2015 to May 2020. Univariate and multivariable analyses were performed to explore the potential risk factors for neoplastic polyps. The outcome of laparoscopic gallbladder-preserving polypectomy (GPP) was evaluated and compared with that of laparoscopic cholecystectomy (LC)</w:t>
      </w:r>
      <w:r>
        <w:rPr>
          <w:rFonts w:hint="eastAsia"/>
          <w:lang w:val="en-US" w:eastAsia="zh-CN"/>
        </w:rPr>
        <w:t xml:space="preserve"> prospectively</w:t>
      </w:r>
      <w:r>
        <w:rPr>
          <w:rFonts w:hint="default"/>
          <w:lang w:val="en-US" w:eastAsia="zh-CN"/>
        </w:rPr>
        <w:t xml:space="preserve">. </w:t>
      </w:r>
    </w:p>
    <w:p>
      <w:pPr>
        <w:rPr/>
      </w:pPr>
      <w:r>
        <w:rPr>
          <w:rFonts w:hint="default"/>
          <w:lang w:val="en-US" w:eastAsia="zh-CN"/>
        </w:rPr>
        <w:t xml:space="preserve">Findings: Of 642 enrolled patients, 572 underwent LC, and 70 underwent GPP. Pathologically, the </w:t>
      </w:r>
    </w:p>
    <w:p>
      <w:pPr>
        <w:rPr/>
      </w:pPr>
      <w:r>
        <w:rPr>
          <w:rFonts w:hint="default"/>
          <w:lang w:val="en-US" w:eastAsia="zh-CN"/>
        </w:rPr>
        <w:t xml:space="preserve">majority of GPLs were cholesterol polyps (68.4%), followed by adenomyomatosis (19.9%), benign adenoma (7.3%), adenocarcinoma (3.6%), and rare pathological types (0.8%). Additionally, 66.3% (379/572) of the LC cases were classified as non-neoplastic, and 33.7% (193/572) neoplastic polyps. Multivariate analysis demonstrated that single polyps (OR 1.956, 95% CI 1.121–3.412; p=0.018), polyps located at the gallbladder fundus (OR 4.326, 95% CI 2.179–8.591; p&lt;0.001), polyps not less than 14 mm (OR 2.833, 95% CI 1.614–4.973; p&lt;0.001), and polyps with a broad base (OR 4.173, 95% CI 1.743–9.990; p=0.001) were independent risk factors for neoplastic polyps. The 5-year prospective results after GPP showed that the 1-year and 3-year polyp recurrence rates were 13.2% and 23.4%, respectively. </w:t>
      </w:r>
    </w:p>
    <w:p>
      <w:pPr>
        <w:rPr/>
      </w:pPr>
      <w:r>
        <w:rPr>
          <w:rFonts w:hint="default"/>
          <w:lang w:val="en-US" w:eastAsia="zh-CN"/>
        </w:rPr>
        <w:t>Conclusion &amp; Significance: The majority of GPLs are cholesterol or other benign lesions without malignant potential. LC is the main treatment procedure for GPLs with a high neoplastic risk. GPP is potentially feasible and could be an alternative management strategy for a group of GPLs patients who meet the selection criteria.</w:t>
      </w:r>
    </w:p>
    <w:p/>
    <w:p>
      <w:bookmarkStart w:id="0" w:name="_GoBack"/>
      <w:bookmarkEnd w:id="0"/>
    </w:p>
    <w:p>
      <w:r>
        <w:t>Biography</w:t>
      </w:r>
    </w:p>
    <w:p>
      <w:pPr>
        <w:rPr>
          <w:rFonts w:hint="default" w:eastAsiaTheme="minorEastAsia"/>
          <w:lang w:val="en-US" w:eastAsia="zh-CN"/>
        </w:rPr>
      </w:pPr>
      <w:r>
        <w:rPr>
          <w:rFonts w:hint="eastAsia"/>
          <w:lang w:val="en-US" w:eastAsia="zh-CN"/>
        </w:rPr>
        <w:t xml:space="preserve">Qiang Qu has his clinical medical education in the Medical School of Beijing University, China (MD) and cell biology diploma in the University of Turku, Finland (PhD). His clinical expertise includes minimal invasive surgery in the gastrointestinal area, especially in the diagnosis, research, evaluation, and management for hepato-biliary diseases. He is currently the Professor in the Department of Surgery, Peking Union Medical Hospital, and is the Chairman of Chinese Medical Foundation.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auto"/>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楷体_GB2312">
    <w:altName w:val="楷体"/>
    <w:panose1 w:val="00000000000000000000"/>
    <w:charset w:val="86"/>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ZWNhOGQ5ZTRmMDdjOTRjNWVjYjc3MWUxNmE2ODkifQ=="/>
  </w:docVars>
  <w:rsids>
    <w:rsidRoot w:val="21C03B69"/>
    <w:rsid w:val="054162A1"/>
    <w:rsid w:val="21C03B69"/>
    <w:rsid w:val="244D031A"/>
    <w:rsid w:val="7132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323</Words>
  <Characters>1967</Characters>
  <Lines>0</Lines>
  <Paragraphs>0</Paragraphs>
  <TotalTime>10</TotalTime>
  <ScaleCrop>false</ScaleCrop>
  <LinksUpToDate>false</LinksUpToDate>
  <CharactersWithSpaces>2285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2023-08-04T11:55:00Z</dcterms:created>
  <dc:creator>曲强</dc:creator>
  <cp:lastModifiedBy>曲强</cp:lastModifiedBy>
  <dcterms:modified xsi:type="dcterms:W3CDTF">2023-08-04T13:22:14Z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22A73B031F964D85AA408ADA00A5B86F_11</vt:lpwstr>
  </property>
</Properties>
</file>