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400"/>
        <w:ind w:right="0" w:left="0" w:firstLine="0"/>
        <w:jc w:val="left"/>
        <w:rPr>
          <w:rFonts w:ascii="Minion Pro" w:hAnsi="Minion Pro" w:cs="Minion Pro" w:eastAsia="Minion Pro"/>
          <w:b/>
          <w:color w:val="auto"/>
          <w:spacing w:val="0"/>
          <w:position w:val="0"/>
          <w:sz w:val="36"/>
          <w:shd w:fill="auto" w:val="clear"/>
        </w:rPr>
      </w:pPr>
      <w:r>
        <w:rPr>
          <w:rFonts w:ascii="Minion Pro" w:hAnsi="Minion Pro" w:cs="Minion Pro" w:eastAsia="Minion Pro"/>
          <w:b/>
          <w:color w:val="337AB7"/>
          <w:spacing w:val="0"/>
          <w:position w:val="0"/>
          <w:sz w:val="36"/>
          <w:shd w:fill="auto" w:val="clear"/>
        </w:rPr>
        <w:t xml:space="preserve">An Analysis of Laparoscopic Partial Fundoplication for GORD in a London Hospital</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Dr Rena Al-Zubaidy</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Ealing Hosiptal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Imperial College trust </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(300 word limit)</w:t>
      </w:r>
    </w:p>
    <w:p>
      <w:pPr>
        <w:spacing w:before="90" w:after="0" w:line="280"/>
        <w:ind w:right="0" w:left="100" w:firstLine="0"/>
        <w:jc w:val="both"/>
        <w:rPr>
          <w:rFonts w:ascii="Tw Cen MT" w:hAnsi="Tw Cen MT" w:cs="Tw Cen MT" w:eastAsia="Tw Cen MT"/>
          <w:color w:val="auto"/>
          <w:spacing w:val="0"/>
          <w:position w:val="0"/>
          <w:sz w:val="18"/>
          <w:shd w:fill="auto" w:val="clear"/>
        </w:rPr>
      </w:pPr>
      <w:r>
        <w:rPr>
          <w:rFonts w:ascii="Arial" w:hAnsi="Arial" w:cs="Arial" w:eastAsia="Arial"/>
          <w:color w:val="auto"/>
          <w:spacing w:val="0"/>
          <w:position w:val="0"/>
          <w:sz w:val="18"/>
          <w:shd w:fill="auto" w:val="clear"/>
        </w:rPr>
        <w:t xml:space="preserve">.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Introduction: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Laparoscopic fundoplication is the prominent surgical option for management of GORD. Nissen fundoplication involves a 360-degree wrap, which is a popular operative approach. Although, there have been studies indicating partial wraps having betterfunctional outcomes. The aim of this study is to evaluate our hospital’s experience with partial laparoscopic fundoplication.</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Methods: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retrospective review of 54 anti-reflux surgeries performed from June 2016 until January 2022 was done. 9 patients were excluded from the study. The data collected included: patient demographics, presenting symptoms, types of wraps performed, and post-operative complications. These patients were followed up for an average of 9 months post-operatively.</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Results: </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majority of patients were referred for symptoms of heartburn, epigastric pain and dyspepsia. 93% underwent a Watson repair and 7% had a Toupet. 45 patients had complete resolution of symptoms and 5 experienced post-operative morbidity, 3 of which were self-limiting. There was 1 patient mortality secondary to non-surgical causes.</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Conclusion:</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Early success rates at our institution are encouraging, showing positive results from partial wraps. We would like to look at larger numbers going forward with longer follow up times to further support the outcomes of partial wraps for GORD.</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Key statement:</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83% of patients who underwent a laparoscopic partial fundoplication at our district general hospital had complete resolution of their symptoms. Our successful outcomes are also likely to be a result of appropriate patient selection.</w:t>
      </w:r>
    </w:p>
    <w:p>
      <w:pPr>
        <w:spacing w:before="74" w:after="0" w:line="240"/>
        <w:ind w:right="0" w:left="100" w:firstLine="0"/>
        <w:jc w:val="left"/>
        <w:rPr>
          <w:rFonts w:ascii="Arial" w:hAnsi="Arial" w:cs="Arial" w:eastAsia="Arial"/>
          <w:color w:val="auto"/>
          <w:spacing w:val="0"/>
          <w:position w:val="0"/>
          <w:sz w:val="20"/>
          <w:shd w:fill="auto" w:val="clear"/>
        </w:rPr>
      </w:pPr>
    </w:p>
    <w:p>
      <w:pPr>
        <w:spacing w:before="74" w:after="0" w:line="240"/>
        <w:ind w:right="0" w:left="100" w:firstLine="0"/>
        <w:jc w:val="left"/>
        <w:rPr>
          <w:rFonts w:ascii="Tw Cen MT" w:hAnsi="Tw Cen MT" w:cs="Tw Cen MT" w:eastAsia="Tw Cen MT"/>
          <w:color w:val="auto"/>
          <w:spacing w:val="0"/>
          <w:position w:val="0"/>
          <w:sz w:val="22"/>
          <w:shd w:fill="auto" w:val="clear"/>
        </w:rPr>
      </w:pPr>
    </w:p>
    <w:p>
      <w:pPr>
        <w:spacing w:before="2"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2" w:after="0" w:line="240"/>
        <w:ind w:right="0" w:left="0" w:firstLine="0"/>
        <w:jc w:val="left"/>
        <w:rPr>
          <w:rFonts w:ascii="Arial" w:hAnsi="Arial" w:cs="Arial" w:eastAsia="Arial"/>
          <w:color w:val="auto"/>
          <w:spacing w:val="0"/>
          <w:position w:val="0"/>
          <w:sz w:val="19"/>
          <w:shd w:fill="auto" w:val="clear"/>
        </w:rPr>
      </w:pPr>
      <w:r>
        <w:rPr>
          <w:rFonts w:ascii="Arial" w:hAnsi="Arial" w:cs="Arial" w:eastAsia="Arial"/>
          <w:color w:val="auto"/>
          <w:spacing w:val="0"/>
          <w:position w:val="0"/>
          <w:sz w:val="14"/>
          <w:shd w:fill="auto" w:val="clear"/>
        </w:rPr>
        <w:t xml:space="preserve">Email: Rena.al-zubaidy@nhs.net</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