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182F3" w14:textId="4B0B90A1" w:rsidR="00AE3E37" w:rsidRPr="0002368C" w:rsidRDefault="0002368C" w:rsidP="00494130">
      <w:pPr>
        <w:pStyle w:val="Heading1"/>
        <w:spacing w:before="170"/>
        <w:ind w:left="0"/>
        <w:rPr>
          <w:color w:val="4F81BD" w:themeColor="accent1"/>
        </w:rPr>
      </w:pPr>
      <w:r w:rsidRPr="0002368C">
        <w:rPr>
          <w:color w:val="4F81BD" w:themeColor="accent1"/>
        </w:rPr>
        <w:t xml:space="preserve">Outcome of </w:t>
      </w:r>
      <w:proofErr w:type="spellStart"/>
      <w:r w:rsidRPr="0002368C">
        <w:rPr>
          <w:color w:val="4F81BD" w:themeColor="accent1"/>
        </w:rPr>
        <w:t>trapeziectomy</w:t>
      </w:r>
      <w:proofErr w:type="spellEnd"/>
      <w:r w:rsidRPr="0002368C">
        <w:rPr>
          <w:color w:val="4F81BD" w:themeColor="accent1"/>
        </w:rPr>
        <w:t xml:space="preserve"> and ligament reconstruction and tendon interposition (LRTI) for patients less than 55 years old – a retrospective study with minimum 5 year follow up </w:t>
      </w:r>
    </w:p>
    <w:p w14:paraId="58FFD616" w14:textId="77777777" w:rsidR="0002368C" w:rsidRDefault="0002368C" w:rsidP="00494130">
      <w:pPr>
        <w:pStyle w:val="Heading1"/>
        <w:spacing w:before="170"/>
        <w:ind w:left="0"/>
      </w:pPr>
    </w:p>
    <w:p w14:paraId="615CE309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>Dr Iman Hameed – St Vincent’s Hospital, Melbourne</w:t>
      </w:r>
    </w:p>
    <w:p w14:paraId="437EAB88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U"/>
        </w:rPr>
        <w:t>M</w:t>
      </w:r>
      <w:r w:rsidRPr="0002368C">
        <w:rPr>
          <w:sz w:val="20"/>
          <w:szCs w:val="20"/>
          <w:lang w:val="en-AT"/>
        </w:rPr>
        <w:t xml:space="preserve">r Stephen Tham –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</w:t>
      </w:r>
      <w:proofErr w:type="spellStart"/>
      <w:r w:rsidRPr="0002368C">
        <w:rPr>
          <w:sz w:val="20"/>
          <w:szCs w:val="20"/>
          <w:lang w:val="en-AU"/>
        </w:rPr>
        <w:t>tes</w:t>
      </w:r>
      <w:proofErr w:type="spellEnd"/>
    </w:p>
    <w:p w14:paraId="6D876362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 xml:space="preserve">Dr Omer Slevin –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Associat</w:t>
      </w:r>
      <w:r w:rsidRPr="0002368C">
        <w:rPr>
          <w:sz w:val="20"/>
          <w:szCs w:val="20"/>
          <w:lang w:val="en-AU"/>
        </w:rPr>
        <w:t>es</w:t>
      </w:r>
    </w:p>
    <w:p w14:paraId="7DFCA4C7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 xml:space="preserve">Ellen Tomkinson -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Associat</w:t>
      </w:r>
      <w:r w:rsidRPr="0002368C">
        <w:rPr>
          <w:sz w:val="20"/>
          <w:szCs w:val="20"/>
          <w:lang w:val="en-AU"/>
        </w:rPr>
        <w:t>es</w:t>
      </w:r>
    </w:p>
    <w:p w14:paraId="604A61FF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 xml:space="preserve">Mr. David McCombe -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Associat</w:t>
      </w:r>
      <w:r w:rsidRPr="0002368C">
        <w:rPr>
          <w:sz w:val="20"/>
          <w:szCs w:val="20"/>
          <w:lang w:val="en-AU"/>
        </w:rPr>
        <w:t>es</w:t>
      </w:r>
    </w:p>
    <w:p w14:paraId="209E6FA5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 xml:space="preserve">Mr. Tim Bennett -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Associat</w:t>
      </w:r>
      <w:r w:rsidRPr="0002368C">
        <w:rPr>
          <w:sz w:val="20"/>
          <w:szCs w:val="20"/>
          <w:lang w:val="en-AU"/>
        </w:rPr>
        <w:t>es</w:t>
      </w:r>
    </w:p>
    <w:p w14:paraId="792DD804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 xml:space="preserve">Mr. Anthony Berger -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Associat</w:t>
      </w:r>
      <w:r w:rsidRPr="0002368C">
        <w:rPr>
          <w:sz w:val="20"/>
          <w:szCs w:val="20"/>
          <w:lang w:val="en-AU"/>
        </w:rPr>
        <w:t>es</w:t>
      </w:r>
    </w:p>
    <w:p w14:paraId="6EC511CE" w14:textId="77777777" w:rsidR="0002368C" w:rsidRPr="0002368C" w:rsidRDefault="0002368C" w:rsidP="0002368C">
      <w:pPr>
        <w:pStyle w:val="BodyText"/>
        <w:rPr>
          <w:sz w:val="20"/>
          <w:szCs w:val="20"/>
          <w:lang w:val="en-AT"/>
        </w:rPr>
      </w:pPr>
      <w:r w:rsidRPr="0002368C">
        <w:rPr>
          <w:sz w:val="20"/>
          <w:szCs w:val="20"/>
          <w:lang w:val="en-AT"/>
        </w:rPr>
        <w:t xml:space="preserve">Mr. Peter Maloney - Victorian Hand </w:t>
      </w:r>
      <w:r w:rsidRPr="0002368C">
        <w:rPr>
          <w:sz w:val="20"/>
          <w:szCs w:val="20"/>
          <w:lang w:val="en-AU"/>
        </w:rPr>
        <w:t>Surgery</w:t>
      </w:r>
      <w:r w:rsidRPr="0002368C">
        <w:rPr>
          <w:sz w:val="20"/>
          <w:szCs w:val="20"/>
          <w:lang w:val="en-AT"/>
        </w:rPr>
        <w:t xml:space="preserve"> Associat</w:t>
      </w:r>
      <w:r w:rsidRPr="0002368C">
        <w:rPr>
          <w:sz w:val="20"/>
          <w:szCs w:val="20"/>
          <w:lang w:val="en-AU"/>
        </w:rPr>
        <w:t>es</w:t>
      </w:r>
    </w:p>
    <w:p w14:paraId="266AF6EB" w14:textId="77777777" w:rsidR="00AE3E37" w:rsidRPr="0002368C" w:rsidRDefault="00AE3E37">
      <w:pPr>
        <w:pStyle w:val="BodyText"/>
        <w:rPr>
          <w:rFonts w:ascii="Arial"/>
          <w:sz w:val="20"/>
          <w:lang w:val="en-AT"/>
        </w:rPr>
      </w:pPr>
    </w:p>
    <w:p w14:paraId="4998FD1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D3140EF" w14:textId="0FE31AF4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115469D7" w14:textId="77777777" w:rsidR="0002368C" w:rsidRPr="0002368C" w:rsidRDefault="0002368C" w:rsidP="0002368C">
      <w:pPr>
        <w:pStyle w:val="BodyText"/>
        <w:spacing w:before="90" w:line="280" w:lineRule="auto"/>
        <w:ind w:left="100"/>
        <w:jc w:val="both"/>
        <w:rPr>
          <w:b/>
          <w:bCs/>
          <w:sz w:val="24"/>
          <w:szCs w:val="24"/>
          <w:lang w:val="en-AU"/>
        </w:rPr>
      </w:pPr>
      <w:r w:rsidRPr="0002368C">
        <w:rPr>
          <w:b/>
          <w:bCs/>
          <w:sz w:val="24"/>
          <w:szCs w:val="24"/>
          <w:lang w:val="en-AU"/>
        </w:rPr>
        <w:t>Purpose/Introduction:</w:t>
      </w:r>
    </w:p>
    <w:p w14:paraId="6E6D2140" w14:textId="77777777" w:rsidR="0002368C" w:rsidRPr="0002368C" w:rsidRDefault="0002368C" w:rsidP="0002368C">
      <w:pPr>
        <w:pStyle w:val="BodyText"/>
        <w:spacing w:before="90" w:line="280" w:lineRule="auto"/>
        <w:ind w:left="100"/>
        <w:jc w:val="both"/>
        <w:rPr>
          <w:sz w:val="24"/>
          <w:szCs w:val="24"/>
          <w:lang w:val="en-AT"/>
        </w:rPr>
      </w:pPr>
      <w:r w:rsidRPr="0002368C">
        <w:rPr>
          <w:sz w:val="24"/>
          <w:szCs w:val="24"/>
          <w:lang w:val="en-AT"/>
        </w:rPr>
        <w:t xml:space="preserve">Trapeziectomy and </w:t>
      </w:r>
      <w:r w:rsidRPr="0002368C">
        <w:rPr>
          <w:sz w:val="24"/>
          <w:szCs w:val="24"/>
          <w:lang w:val="en-AU"/>
        </w:rPr>
        <w:t>ligament reconstruction and tendon interposition (</w:t>
      </w:r>
      <w:r w:rsidRPr="0002368C">
        <w:rPr>
          <w:sz w:val="24"/>
          <w:szCs w:val="24"/>
          <w:lang w:val="en-AT"/>
        </w:rPr>
        <w:t>LRTI</w:t>
      </w:r>
      <w:r w:rsidRPr="0002368C">
        <w:rPr>
          <w:sz w:val="24"/>
          <w:szCs w:val="24"/>
          <w:lang w:val="en-AU"/>
        </w:rPr>
        <w:t>)</w:t>
      </w:r>
      <w:r w:rsidRPr="0002368C">
        <w:rPr>
          <w:sz w:val="24"/>
          <w:szCs w:val="24"/>
          <w:lang w:val="en-AT"/>
        </w:rPr>
        <w:t xml:space="preserve"> is a</w:t>
      </w:r>
      <w:r w:rsidRPr="0002368C">
        <w:rPr>
          <w:sz w:val="24"/>
          <w:szCs w:val="24"/>
          <w:lang w:val="en-AU"/>
        </w:rPr>
        <w:t xml:space="preserve"> </w:t>
      </w:r>
      <w:r w:rsidRPr="0002368C">
        <w:rPr>
          <w:sz w:val="24"/>
          <w:szCs w:val="24"/>
          <w:lang w:val="en-AT"/>
        </w:rPr>
        <w:t xml:space="preserve">procedure for </w:t>
      </w:r>
      <w:r w:rsidRPr="0002368C">
        <w:rPr>
          <w:sz w:val="24"/>
          <w:szCs w:val="24"/>
          <w:lang w:val="en-AU"/>
        </w:rPr>
        <w:t xml:space="preserve">the </w:t>
      </w:r>
      <w:r w:rsidRPr="0002368C">
        <w:rPr>
          <w:sz w:val="24"/>
          <w:szCs w:val="24"/>
          <w:lang w:val="en-AT"/>
        </w:rPr>
        <w:t xml:space="preserve">management of thumb basal joint osteoarthritis. </w:t>
      </w:r>
      <w:r w:rsidRPr="0002368C">
        <w:rPr>
          <w:sz w:val="24"/>
          <w:szCs w:val="24"/>
        </w:rPr>
        <w:t xml:space="preserve">This study aimed </w:t>
      </w:r>
      <w:r w:rsidRPr="0002368C">
        <w:rPr>
          <w:sz w:val="24"/>
          <w:szCs w:val="24"/>
          <w:lang w:val="en-AT"/>
        </w:rPr>
        <w:t xml:space="preserve">to determine the long-term consequence of </w:t>
      </w:r>
      <w:r w:rsidRPr="0002368C">
        <w:rPr>
          <w:sz w:val="24"/>
          <w:szCs w:val="24"/>
        </w:rPr>
        <w:t xml:space="preserve">this procedure </w:t>
      </w:r>
      <w:r w:rsidRPr="0002368C">
        <w:rPr>
          <w:sz w:val="24"/>
          <w:szCs w:val="24"/>
          <w:lang w:val="en-AT"/>
        </w:rPr>
        <w:t>in patients</w:t>
      </w:r>
      <w:r w:rsidRPr="0002368C">
        <w:rPr>
          <w:sz w:val="24"/>
          <w:szCs w:val="24"/>
          <w:lang w:val="en-AU"/>
        </w:rPr>
        <w:t xml:space="preserve"> aged</w:t>
      </w:r>
      <w:r w:rsidRPr="0002368C">
        <w:rPr>
          <w:sz w:val="24"/>
          <w:szCs w:val="24"/>
          <w:lang w:val="en-AT"/>
        </w:rPr>
        <w:t xml:space="preserve"> less than 55 years</w:t>
      </w:r>
      <w:r w:rsidRPr="0002368C">
        <w:rPr>
          <w:sz w:val="24"/>
          <w:szCs w:val="24"/>
          <w:lang w:val="en-AU"/>
        </w:rPr>
        <w:t xml:space="preserve"> at time of surgery and with</w:t>
      </w:r>
      <w:r w:rsidRPr="0002368C">
        <w:rPr>
          <w:sz w:val="24"/>
          <w:szCs w:val="24"/>
          <w:lang w:val="en-AT"/>
        </w:rPr>
        <w:t xml:space="preserve"> a minimum 5</w:t>
      </w:r>
      <w:r w:rsidRPr="0002368C">
        <w:rPr>
          <w:sz w:val="24"/>
          <w:szCs w:val="24"/>
          <w:lang w:val="en-AU"/>
        </w:rPr>
        <w:t>-</w:t>
      </w:r>
      <w:r w:rsidRPr="0002368C">
        <w:rPr>
          <w:sz w:val="24"/>
          <w:szCs w:val="24"/>
          <w:lang w:val="en-AT"/>
        </w:rPr>
        <w:t xml:space="preserve">year </w:t>
      </w:r>
      <w:r w:rsidRPr="0002368C">
        <w:rPr>
          <w:sz w:val="24"/>
          <w:szCs w:val="24"/>
          <w:lang w:val="en-AU"/>
        </w:rPr>
        <w:t>follow-up</w:t>
      </w:r>
      <w:r w:rsidRPr="0002368C">
        <w:rPr>
          <w:sz w:val="24"/>
          <w:szCs w:val="24"/>
          <w:lang w:val="en-AT"/>
        </w:rPr>
        <w:t xml:space="preserve">. </w:t>
      </w:r>
    </w:p>
    <w:p w14:paraId="2F129BA6" w14:textId="06CBD044" w:rsidR="0002368C" w:rsidRPr="0002368C" w:rsidRDefault="0002368C" w:rsidP="0002368C">
      <w:pPr>
        <w:pStyle w:val="BodyText"/>
        <w:spacing w:before="90" w:line="280" w:lineRule="auto"/>
        <w:ind w:left="100"/>
        <w:jc w:val="both"/>
        <w:rPr>
          <w:sz w:val="24"/>
          <w:szCs w:val="24"/>
          <w:lang w:val="en-AU"/>
        </w:rPr>
      </w:pPr>
      <w:r w:rsidRPr="0002368C">
        <w:rPr>
          <w:b/>
          <w:bCs/>
          <w:sz w:val="24"/>
          <w:szCs w:val="24"/>
          <w:lang w:val="en-AU"/>
        </w:rPr>
        <w:t>Methodology:</w:t>
      </w:r>
      <w:r w:rsidRPr="0002368C">
        <w:rPr>
          <w:sz w:val="24"/>
          <w:szCs w:val="24"/>
          <w:lang w:val="en-AU"/>
        </w:rPr>
        <w:t xml:space="preserve"> Forty-eight</w:t>
      </w:r>
      <w:r w:rsidRPr="0002368C">
        <w:rPr>
          <w:sz w:val="24"/>
          <w:szCs w:val="24"/>
          <w:lang w:val="en-AT"/>
        </w:rPr>
        <w:t xml:space="preserve"> patients</w:t>
      </w:r>
      <w:r w:rsidRPr="0002368C">
        <w:rPr>
          <w:sz w:val="24"/>
          <w:szCs w:val="24"/>
        </w:rPr>
        <w:t xml:space="preserve"> with a mean age of 52.5 years were </w:t>
      </w:r>
      <w:r w:rsidRPr="0002368C">
        <w:rPr>
          <w:sz w:val="24"/>
          <w:szCs w:val="24"/>
          <w:lang w:val="en-AT"/>
        </w:rPr>
        <w:t>enrolled. Objective</w:t>
      </w:r>
      <w:r w:rsidRPr="0002368C">
        <w:rPr>
          <w:sz w:val="24"/>
          <w:szCs w:val="24"/>
        </w:rPr>
        <w:t xml:space="preserve"> thumb range of motion, f</w:t>
      </w:r>
      <w:r w:rsidRPr="0002368C">
        <w:rPr>
          <w:sz w:val="24"/>
          <w:szCs w:val="24"/>
          <w:lang w:val="en-AT"/>
        </w:rPr>
        <w:t>unctional and pain outcomes were</w:t>
      </w:r>
      <w:r w:rsidRPr="0002368C">
        <w:rPr>
          <w:sz w:val="24"/>
          <w:szCs w:val="24"/>
          <w:lang w:val="en-AU"/>
        </w:rPr>
        <w:t xml:space="preserve"> </w:t>
      </w:r>
      <w:r w:rsidRPr="0002368C">
        <w:rPr>
          <w:sz w:val="24"/>
          <w:szCs w:val="24"/>
        </w:rPr>
        <w:t xml:space="preserve">recorded. </w:t>
      </w:r>
      <w:r w:rsidRPr="0002368C">
        <w:rPr>
          <w:sz w:val="24"/>
          <w:szCs w:val="24"/>
          <w:lang w:val="en-AT"/>
        </w:rPr>
        <w:t xml:space="preserve">Proximal migration of thumb was evaluated </w:t>
      </w:r>
      <w:r w:rsidRPr="0002368C">
        <w:rPr>
          <w:sz w:val="24"/>
          <w:szCs w:val="24"/>
          <w:lang w:val="en-AU"/>
        </w:rPr>
        <w:t xml:space="preserve">by </w:t>
      </w:r>
      <w:r w:rsidRPr="0002368C">
        <w:rPr>
          <w:sz w:val="24"/>
          <w:szCs w:val="24"/>
        </w:rPr>
        <w:t xml:space="preserve">radiographic </w:t>
      </w:r>
      <w:r w:rsidRPr="0002368C">
        <w:rPr>
          <w:sz w:val="24"/>
          <w:szCs w:val="24"/>
          <w:lang w:val="en-AT"/>
        </w:rPr>
        <w:t xml:space="preserve">trapezial space to metacarpal height (TS/MC) ratio. The analysis measured changes from the normative values </w:t>
      </w:r>
      <w:r w:rsidRPr="0002368C">
        <w:rPr>
          <w:sz w:val="24"/>
          <w:szCs w:val="24"/>
        </w:rPr>
        <w:t xml:space="preserve">and correlation between variables. </w:t>
      </w:r>
    </w:p>
    <w:p w14:paraId="666279A6" w14:textId="31E49718" w:rsidR="0002368C" w:rsidRPr="0002368C" w:rsidRDefault="0002368C" w:rsidP="0002368C">
      <w:pPr>
        <w:pStyle w:val="BodyText"/>
        <w:spacing w:before="90" w:line="280" w:lineRule="auto"/>
        <w:ind w:left="100"/>
        <w:jc w:val="both"/>
        <w:rPr>
          <w:sz w:val="24"/>
          <w:szCs w:val="24"/>
          <w:lang w:val="en-AU"/>
        </w:rPr>
      </w:pPr>
      <w:r w:rsidRPr="0002368C">
        <w:rPr>
          <w:b/>
          <w:bCs/>
          <w:sz w:val="24"/>
          <w:szCs w:val="24"/>
          <w:lang w:val="en-AU"/>
        </w:rPr>
        <w:t>Results:</w:t>
      </w:r>
      <w:r w:rsidRPr="0002368C">
        <w:rPr>
          <w:sz w:val="24"/>
          <w:szCs w:val="24"/>
          <w:lang w:val="en-AU"/>
        </w:rPr>
        <w:t xml:space="preserve"> </w:t>
      </w:r>
      <w:r w:rsidRPr="0002368C">
        <w:rPr>
          <w:sz w:val="24"/>
          <w:szCs w:val="24"/>
          <w:lang w:val="en-AU"/>
        </w:rPr>
        <w:t xml:space="preserve">At 11 years, </w:t>
      </w:r>
      <w:r w:rsidRPr="0002368C">
        <w:rPr>
          <w:sz w:val="24"/>
          <w:szCs w:val="24"/>
          <w:lang w:val="en-AT"/>
        </w:rPr>
        <w:t>87% of patients report</w:t>
      </w:r>
      <w:r w:rsidRPr="0002368C">
        <w:rPr>
          <w:sz w:val="24"/>
          <w:szCs w:val="24"/>
          <w:lang w:val="en-AU"/>
        </w:rPr>
        <w:t>ed a</w:t>
      </w:r>
      <w:r w:rsidRPr="0002368C">
        <w:rPr>
          <w:sz w:val="24"/>
          <w:szCs w:val="24"/>
          <w:lang w:val="en-AT"/>
        </w:rPr>
        <w:t xml:space="preserve"> VAS score &lt;3</w:t>
      </w:r>
      <w:r w:rsidRPr="0002368C">
        <w:rPr>
          <w:sz w:val="24"/>
          <w:szCs w:val="24"/>
        </w:rPr>
        <w:t xml:space="preserve">. </w:t>
      </w:r>
      <w:r w:rsidRPr="0002368C">
        <w:rPr>
          <w:sz w:val="24"/>
          <w:szCs w:val="24"/>
          <w:lang w:val="en-AT"/>
        </w:rPr>
        <w:t xml:space="preserve">81.4% achieved full thumb opposition. </w:t>
      </w:r>
      <w:r w:rsidRPr="0002368C">
        <w:rPr>
          <w:sz w:val="24"/>
          <w:szCs w:val="24"/>
        </w:rPr>
        <w:t xml:space="preserve">25% of the patients scored 0 for DASH and PRWE. </w:t>
      </w:r>
      <w:r w:rsidRPr="0002368C">
        <w:rPr>
          <w:sz w:val="24"/>
          <w:szCs w:val="24"/>
          <w:lang w:val="en-AT"/>
        </w:rPr>
        <w:t xml:space="preserve">Compared to normative values, we found reduced mean palmar and radial abduction by 10-15°, mean power grip strength was less by </w:t>
      </w:r>
      <w:r w:rsidRPr="0002368C">
        <w:rPr>
          <w:sz w:val="24"/>
          <w:szCs w:val="24"/>
        </w:rPr>
        <w:t>6k</w:t>
      </w:r>
      <w:r w:rsidRPr="0002368C">
        <w:rPr>
          <w:sz w:val="24"/>
          <w:szCs w:val="24"/>
          <w:lang w:val="en-AT"/>
        </w:rPr>
        <w:t xml:space="preserve">g, key pinch less by 2.4kg and thumb pinch strength less by 2.7kg. The mean TS/MC ratio </w:t>
      </w:r>
      <w:r w:rsidRPr="0002368C">
        <w:rPr>
          <w:sz w:val="24"/>
          <w:szCs w:val="24"/>
          <w:lang w:val="en-AU"/>
        </w:rPr>
        <w:t xml:space="preserve">was </w:t>
      </w:r>
      <w:r w:rsidRPr="0002368C">
        <w:rPr>
          <w:sz w:val="24"/>
          <w:szCs w:val="24"/>
          <w:lang w:val="en-AT"/>
        </w:rPr>
        <w:t>0.085 however no correlation with pain</w:t>
      </w:r>
      <w:r w:rsidRPr="0002368C">
        <w:rPr>
          <w:sz w:val="24"/>
          <w:szCs w:val="24"/>
        </w:rPr>
        <w:t xml:space="preserve"> found</w:t>
      </w:r>
      <w:r w:rsidRPr="0002368C">
        <w:rPr>
          <w:sz w:val="24"/>
          <w:szCs w:val="24"/>
          <w:lang w:val="en-AT"/>
        </w:rPr>
        <w:t xml:space="preserve">. </w:t>
      </w:r>
      <w:r w:rsidRPr="0002368C">
        <w:rPr>
          <w:sz w:val="24"/>
          <w:szCs w:val="24"/>
        </w:rPr>
        <w:t>We found s</w:t>
      </w:r>
      <w:r w:rsidRPr="0002368C">
        <w:rPr>
          <w:sz w:val="24"/>
          <w:szCs w:val="24"/>
          <w:lang w:val="en-AT"/>
        </w:rPr>
        <w:t xml:space="preserve">ignificant correlation </w:t>
      </w:r>
      <w:r w:rsidRPr="0002368C">
        <w:rPr>
          <w:sz w:val="24"/>
          <w:szCs w:val="24"/>
          <w:lang w:val="en-AU"/>
        </w:rPr>
        <w:t>between length of</w:t>
      </w:r>
      <w:r w:rsidRPr="0002368C">
        <w:rPr>
          <w:sz w:val="24"/>
          <w:szCs w:val="24"/>
          <w:lang w:val="en-AT"/>
        </w:rPr>
        <w:t xml:space="preserve"> time</w:t>
      </w:r>
      <w:r w:rsidRPr="0002368C">
        <w:rPr>
          <w:sz w:val="24"/>
          <w:szCs w:val="24"/>
          <w:lang w:val="en-AU"/>
        </w:rPr>
        <w:t xml:space="preserve"> from</w:t>
      </w:r>
      <w:r w:rsidRPr="0002368C">
        <w:rPr>
          <w:sz w:val="24"/>
          <w:szCs w:val="24"/>
          <w:lang w:val="en-AT"/>
        </w:rPr>
        <w:t xml:space="preserve"> surgery and assessment and increased in DASH (p=0.002), PRWE (p=0.018, and pain (p=0.0092). </w:t>
      </w:r>
      <w:r w:rsidRPr="0002368C">
        <w:rPr>
          <w:sz w:val="24"/>
          <w:szCs w:val="24"/>
        </w:rPr>
        <w:t xml:space="preserve">There was an association </w:t>
      </w:r>
      <w:r w:rsidRPr="0002368C">
        <w:rPr>
          <w:sz w:val="24"/>
          <w:szCs w:val="24"/>
          <w:lang w:val="en-AT"/>
        </w:rPr>
        <w:t>between younger age at surgery and increased proximal migration of the first metacarpal (r=0.28, p=0.049).</w:t>
      </w:r>
      <w:r w:rsidRPr="0002368C">
        <w:rPr>
          <w:sz w:val="24"/>
          <w:szCs w:val="24"/>
        </w:rPr>
        <w:t xml:space="preserve"> </w:t>
      </w:r>
    </w:p>
    <w:p w14:paraId="72224C6B" w14:textId="77836522" w:rsidR="0002368C" w:rsidRPr="0002368C" w:rsidRDefault="0002368C" w:rsidP="0002368C">
      <w:pPr>
        <w:pStyle w:val="BodyText"/>
        <w:spacing w:before="90" w:line="280" w:lineRule="auto"/>
        <w:ind w:left="100"/>
        <w:jc w:val="both"/>
        <w:rPr>
          <w:sz w:val="24"/>
          <w:szCs w:val="24"/>
          <w:lang w:val="en-AU"/>
        </w:rPr>
      </w:pPr>
      <w:r w:rsidRPr="0002368C">
        <w:rPr>
          <w:b/>
          <w:bCs/>
          <w:sz w:val="24"/>
          <w:szCs w:val="24"/>
          <w:lang w:val="en-AU"/>
        </w:rPr>
        <w:t>Conclusion/s:</w:t>
      </w:r>
      <w:r w:rsidRPr="0002368C">
        <w:rPr>
          <w:sz w:val="24"/>
          <w:szCs w:val="24"/>
          <w:lang w:val="en-AU"/>
        </w:rPr>
        <w:t xml:space="preserve"> </w:t>
      </w:r>
      <w:r w:rsidRPr="0002368C">
        <w:rPr>
          <w:sz w:val="24"/>
          <w:szCs w:val="24"/>
          <w:lang w:val="en-AU"/>
        </w:rPr>
        <w:t>Though arthritis of the base of thumb predominantly affects patients aged greater than 65 years, younger patients with recalcitrant basal thumb arthritis pain can have successful long-term pain and functional improvement from this procedure</w:t>
      </w:r>
      <w:r w:rsidRPr="0002368C">
        <w:rPr>
          <w:sz w:val="24"/>
          <w:szCs w:val="24"/>
        </w:rPr>
        <w:t>.</w:t>
      </w:r>
    </w:p>
    <w:p w14:paraId="3594B670" w14:textId="29147836" w:rsidR="00AE3E37" w:rsidRPr="0002368C" w:rsidRDefault="00A9710C">
      <w:pPr>
        <w:pStyle w:val="BodyText"/>
        <w:spacing w:before="90" w:line="280" w:lineRule="auto"/>
        <w:ind w:left="100"/>
        <w:jc w:val="both"/>
        <w:rPr>
          <w:sz w:val="24"/>
          <w:szCs w:val="24"/>
        </w:rPr>
      </w:pPr>
      <w:r w:rsidRPr="0002368C">
        <w:rPr>
          <w:sz w:val="24"/>
          <w:szCs w:val="24"/>
        </w:rPr>
        <w:t>that would help this</w:t>
      </w:r>
      <w:r w:rsidR="00404E5B" w:rsidRPr="0002368C">
        <w:rPr>
          <w:sz w:val="24"/>
          <w:szCs w:val="24"/>
        </w:rPr>
        <w:t xml:space="preserve"> </w:t>
      </w:r>
      <w:r w:rsidRPr="0002368C">
        <w:rPr>
          <w:sz w:val="24"/>
          <w:szCs w:val="24"/>
        </w:rPr>
        <w:t>recognition.</w:t>
      </w:r>
    </w:p>
    <w:p w14:paraId="00B3ACC5" w14:textId="77777777" w:rsidR="0002368C" w:rsidRPr="0002368C" w:rsidRDefault="0002368C">
      <w:pPr>
        <w:pStyle w:val="Heading3"/>
        <w:spacing w:before="74"/>
        <w:rPr>
          <w:b w:val="0"/>
          <w:sz w:val="28"/>
          <w:szCs w:val="28"/>
        </w:rPr>
        <w:sectPr w:rsidR="0002368C" w:rsidRPr="0002368C" w:rsidSect="0002368C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14:paraId="2527C792" w14:textId="055102BF" w:rsidR="00AE3E37" w:rsidRDefault="00A9710C">
      <w:pPr>
        <w:pStyle w:val="Heading3"/>
        <w:spacing w:before="74"/>
      </w:pPr>
      <w:r w:rsidRPr="0002368C">
        <w:rPr>
          <w:b w:val="0"/>
          <w:sz w:val="28"/>
          <w:szCs w:val="28"/>
        </w:rPr>
        <w:br w:type="column"/>
      </w:r>
    </w:p>
    <w:p w14:paraId="02200090" w14:textId="45C94CC1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036A689C" w14:textId="4C75052A" w:rsidR="005973B9" w:rsidRDefault="005973B9" w:rsidP="0002368C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243BCF9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596853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A80F715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093964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AFB1846" wp14:editId="6DDF2E5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8F8FDBC" w14:textId="00FDDEB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02368C">
        <w:rPr>
          <w:noProof/>
        </w:rPr>
        <w:drawing>
          <wp:inline distT="0" distB="0" distL="0" distR="0" wp14:anchorId="2656B13C" wp14:editId="4EE80DD1">
            <wp:extent cx="343877" cy="428611"/>
            <wp:effectExtent l="0" t="0" r="0" b="3810"/>
            <wp:docPr id="1860393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93854" name="Picture 18603938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55" cy="48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775BBA5" w14:textId="77777777" w:rsidR="0002368C" w:rsidRDefault="00A9710C" w:rsidP="0002368C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02368C">
        <w:rPr>
          <w:rFonts w:ascii="Arial"/>
          <w:sz w:val="14"/>
        </w:rPr>
        <w:t xml:space="preserve"> Iman Hameed is a surgical registrar at St Vincent</w:t>
      </w:r>
      <w:r w:rsidR="0002368C">
        <w:rPr>
          <w:rFonts w:ascii="Arial"/>
          <w:sz w:val="14"/>
        </w:rPr>
        <w:t>’</w:t>
      </w:r>
      <w:r w:rsidR="0002368C">
        <w:rPr>
          <w:rFonts w:ascii="Arial"/>
          <w:sz w:val="14"/>
        </w:rPr>
        <w:t xml:space="preserve">s Hospital, Melbourne. She has experience working in </w:t>
      </w:r>
      <w:proofErr w:type="spellStart"/>
      <w:r w:rsidR="0002368C">
        <w:rPr>
          <w:rFonts w:ascii="Arial"/>
          <w:sz w:val="14"/>
        </w:rPr>
        <w:t>Orthopaedics</w:t>
      </w:r>
      <w:proofErr w:type="spellEnd"/>
      <w:r w:rsidR="0002368C">
        <w:rPr>
          <w:rFonts w:ascii="Arial"/>
          <w:sz w:val="14"/>
        </w:rPr>
        <w:t xml:space="preserve">, Plastics and General Surgery department in multiple hospitals in Australia. She is interested in Surgical Oncology and Plastic and Reconstructive Surgery. </w:t>
      </w:r>
    </w:p>
    <w:p w14:paraId="3AAA4E02" w14:textId="36D6BF4D" w:rsidR="00AE3E37" w:rsidRDefault="00A9710C" w:rsidP="0002368C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proofErr w:type="gramStart"/>
      <w:r>
        <w:rPr>
          <w:rFonts w:ascii="Arial"/>
          <w:sz w:val="14"/>
        </w:rPr>
        <w:t>Email:</w:t>
      </w:r>
      <w:r w:rsidR="0002368C" w:rsidRPr="0002368C">
        <w:rPr>
          <w:rFonts w:ascii="Arial"/>
          <w:sz w:val="14"/>
        </w:rPr>
        <w:t>nuruliman</w:t>
      </w:r>
      <w:r w:rsidR="0002368C">
        <w:rPr>
          <w:rFonts w:ascii="Arial"/>
          <w:sz w:val="14"/>
        </w:rPr>
        <w:t>.hameed@gmail.com</w:t>
      </w:r>
      <w:proofErr w:type="gramEnd"/>
    </w:p>
    <w:p w14:paraId="327F7B7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A0E53F7" wp14:editId="42B8150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A6CD7A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C99C01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8C0B8" w14:textId="77777777" w:rsidR="000B42D7" w:rsidRDefault="000B42D7">
      <w:r>
        <w:separator/>
      </w:r>
    </w:p>
  </w:endnote>
  <w:endnote w:type="continuationSeparator" w:id="0">
    <w:p w14:paraId="6094C4CE" w14:textId="77777777" w:rsidR="000B42D7" w:rsidRDefault="000B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145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DB2E5E" wp14:editId="668E822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8A5E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6E049A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B2E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0F58A5E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6E049A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424AA67" wp14:editId="0DA9F1C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3FA2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4014E7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24AA6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3BE3FA2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4014E7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BAD609E" wp14:editId="55607AD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1510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66DE38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AD609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7E61510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66DE38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883A8" w14:textId="77777777" w:rsidR="000B42D7" w:rsidRDefault="000B42D7">
      <w:r>
        <w:separator/>
      </w:r>
    </w:p>
  </w:footnote>
  <w:footnote w:type="continuationSeparator" w:id="0">
    <w:p w14:paraId="469FB260" w14:textId="77777777" w:rsidR="000B42D7" w:rsidRDefault="000B4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8F88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08284C5" wp14:editId="4A2C367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67EF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8284C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71567EF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D330060" wp14:editId="48A227B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7FCF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4516D0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3006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2517FCF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4516D0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138915722">
    <w:abstractNumId w:val="0"/>
  </w:num>
  <w:num w:numId="2" w16cid:durableId="1037849209">
    <w:abstractNumId w:val="1"/>
  </w:num>
  <w:num w:numId="3" w16cid:durableId="14608808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368C"/>
    <w:rsid w:val="000B42D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E0CAFF6"/>
  <w15:docId w15:val="{A6ABCA4D-9961-4143-8AB1-D1506F3B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Iman Hameed</cp:lastModifiedBy>
  <cp:revision>5</cp:revision>
  <dcterms:created xsi:type="dcterms:W3CDTF">2016-08-31T13:10:00Z</dcterms:created>
  <dcterms:modified xsi:type="dcterms:W3CDTF">2023-06-18T10:41:00Z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