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E2BF9" w14:textId="35CEBA53" w:rsidR="00271105" w:rsidRPr="005B542A" w:rsidRDefault="00271105" w:rsidP="00271105">
      <w:pPr>
        <w:pStyle w:val="a3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4"/>
          <w:szCs w:val="24"/>
        </w:rPr>
      </w:pPr>
      <w:r w:rsidRPr="005B542A">
        <w:rPr>
          <w:rFonts w:ascii="Minion Pro" w:eastAsia="Minion Pro" w:hAnsi="Minion Pro" w:cs="Minion Pro"/>
          <w:b/>
          <w:bCs/>
          <w:color w:val="337AB7"/>
          <w:sz w:val="24"/>
          <w:szCs w:val="24"/>
        </w:rPr>
        <w:t xml:space="preserve">Predictive Role of the </w:t>
      </w:r>
      <w:r w:rsidR="0093119D" w:rsidRPr="005B542A">
        <w:rPr>
          <w:rFonts w:ascii="Minion Pro" w:eastAsia="Minion Pro" w:hAnsi="Minion Pro" w:cs="Minion Pro"/>
          <w:b/>
          <w:bCs/>
          <w:color w:val="337AB7"/>
          <w:sz w:val="24"/>
          <w:szCs w:val="24"/>
        </w:rPr>
        <w:t>fibrinogen to albumin ratio</w:t>
      </w:r>
      <w:r w:rsidRPr="005B542A">
        <w:rPr>
          <w:rFonts w:ascii="Minion Pro" w:eastAsia="Minion Pro" w:hAnsi="Minion Pro" w:cs="Minion Pro"/>
          <w:b/>
          <w:bCs/>
          <w:color w:val="337AB7"/>
          <w:sz w:val="24"/>
          <w:szCs w:val="24"/>
        </w:rPr>
        <w:t xml:space="preserve"> in Acute Kidney Injury in Living Donor Liver Transplantation: A Retrospective </w:t>
      </w:r>
    </w:p>
    <w:p w14:paraId="48FE6E90" w14:textId="77777777" w:rsidR="00271105" w:rsidRPr="005B542A" w:rsidRDefault="00271105" w:rsidP="00271105">
      <w:pPr>
        <w:pStyle w:val="a3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4"/>
          <w:szCs w:val="24"/>
        </w:rPr>
      </w:pPr>
      <w:r w:rsidRPr="005B542A">
        <w:rPr>
          <w:rFonts w:ascii="Minion Pro" w:eastAsia="Minion Pro" w:hAnsi="Minion Pro" w:cs="Minion Pro"/>
          <w:b/>
          <w:bCs/>
          <w:color w:val="337AB7"/>
          <w:sz w:val="24"/>
          <w:szCs w:val="24"/>
        </w:rPr>
        <w:t xml:space="preserve">Observational Cohort Study </w:t>
      </w:r>
    </w:p>
    <w:p w14:paraId="5BD76984" w14:textId="77777777" w:rsidR="00ED576B" w:rsidRPr="00ED576B" w:rsidRDefault="00ED576B" w:rsidP="00271105">
      <w:pPr>
        <w:pStyle w:val="a3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8"/>
          <w:szCs w:val="28"/>
        </w:rPr>
      </w:pPr>
    </w:p>
    <w:p w14:paraId="2B437A99" w14:textId="533F18C4" w:rsidR="0078738A" w:rsidRDefault="002E151B" w:rsidP="00271105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 w:rsidRPr="002E151B">
        <w:rPr>
          <w:rFonts w:ascii="Arial"/>
        </w:rPr>
        <w:t>Min A. Joo</w:t>
      </w:r>
      <w:r w:rsidR="00271105">
        <w:rPr>
          <w:rFonts w:ascii="Arial"/>
        </w:rPr>
        <w:t xml:space="preserve">, PhD, </w:t>
      </w:r>
      <w:r w:rsidR="00613F88">
        <w:rPr>
          <w:rFonts w:ascii="Arial"/>
        </w:rPr>
        <w:t>Seoul St. Mary</w:t>
      </w:r>
      <w:r w:rsidR="00613F88">
        <w:rPr>
          <w:rFonts w:ascii="Arial"/>
        </w:rPr>
        <w:t>’</w:t>
      </w:r>
      <w:r w:rsidR="00613F88">
        <w:rPr>
          <w:rFonts w:ascii="Arial"/>
        </w:rPr>
        <w:t>s Hospital, Korea</w:t>
      </w:r>
    </w:p>
    <w:p w14:paraId="56C30BEF" w14:textId="1A812A9B" w:rsidR="005973B9" w:rsidRDefault="0078738A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 w:rsidR="00271105">
        <w:rPr>
          <w:rFonts w:ascii="Arial"/>
        </w:rPr>
        <w:t>Jaesik Park,</w:t>
      </w:r>
      <w:r w:rsidR="005973B9">
        <w:rPr>
          <w:rFonts w:ascii="Arial"/>
        </w:rPr>
        <w:t xml:space="preserve"> PhD, </w:t>
      </w:r>
      <w:r w:rsidR="00271105">
        <w:rPr>
          <w:rFonts w:ascii="Arial"/>
        </w:rPr>
        <w:t>Seoul St. Mary</w:t>
      </w:r>
      <w:r w:rsidR="00271105">
        <w:rPr>
          <w:rFonts w:ascii="Arial"/>
        </w:rPr>
        <w:t>’</w:t>
      </w:r>
      <w:r w:rsidR="00271105">
        <w:rPr>
          <w:rFonts w:ascii="Arial"/>
        </w:rPr>
        <w:t>s Hospital, Korea</w:t>
      </w:r>
    </w:p>
    <w:p w14:paraId="13ADAD30" w14:textId="77777777" w:rsidR="00AE3E37" w:rsidRDefault="00AE3E37">
      <w:pPr>
        <w:pStyle w:val="a3"/>
        <w:rPr>
          <w:rFonts w:ascii="Arial"/>
          <w:sz w:val="20"/>
        </w:rPr>
      </w:pPr>
    </w:p>
    <w:p w14:paraId="08D9CA5B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2634B637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F3F1573" w14:textId="77777777" w:rsidR="00AE3E37" w:rsidRDefault="00A9710C">
      <w:pPr>
        <w:pStyle w:val="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2F7BF56A" w14:textId="77777777" w:rsidR="00ED576B" w:rsidRDefault="00ED576B">
      <w:pPr>
        <w:pStyle w:val="3"/>
        <w:spacing w:before="147"/>
        <w:jc w:val="both"/>
      </w:pPr>
    </w:p>
    <w:p w14:paraId="640D27FD" w14:textId="6E99BECE" w:rsidR="00AE3E37" w:rsidRDefault="00CD0786" w:rsidP="00CD0786">
      <w:pPr>
        <w:pStyle w:val="3"/>
        <w:spacing w:before="74"/>
      </w:pPr>
      <w:r w:rsidRPr="00CD0786">
        <w:rPr>
          <w:rFonts w:ascii="Tw Cen MT" w:eastAsia="Tw Cen MT" w:hAnsi="Tw Cen MT" w:cs="Tw Cen MT"/>
          <w:b w:val="0"/>
          <w:bCs w:val="0"/>
          <w:sz w:val="18"/>
          <w:szCs w:val="18"/>
        </w:rPr>
        <w:t>This study investigated perioperative clinical risk factors</w:t>
      </w:r>
      <w:r w:rsidRPr="00CD07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for postoperative AKI after LDLT. The authors performed to determine the a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ssociation between </w:t>
      </w:r>
      <w:r w:rsidR="0093119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fibrinogen to albumin ratio (FAR) 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the risk of </w:t>
      </w:r>
      <w:r w:rsid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postoperative 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acute kidney injury (AKI) in patients undergoing living donor liver transplantation (LDLT). </w:t>
      </w:r>
      <w:r w:rsidR="0093119D" w:rsidRPr="0093119D">
        <w:rPr>
          <w:rFonts w:ascii="Tw Cen MT" w:eastAsia="Tw Cen MT" w:hAnsi="Tw Cen MT" w:cs="Tw Cen MT"/>
          <w:b w:val="0"/>
          <w:bCs w:val="0"/>
          <w:sz w:val="18"/>
          <w:szCs w:val="18"/>
        </w:rPr>
        <w:t>FAR</w:t>
      </w:r>
      <w:r w:rsidR="0093119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known </w:t>
      </w:r>
      <w:r w:rsidR="0093119D" w:rsidRPr="0093119D">
        <w:rPr>
          <w:rFonts w:ascii="Tw Cen MT" w:eastAsia="Tw Cen MT" w:hAnsi="Tw Cen MT" w:cs="Tw Cen MT"/>
          <w:b w:val="0"/>
          <w:bCs w:val="0"/>
          <w:sz w:val="18"/>
          <w:szCs w:val="18"/>
        </w:rPr>
        <w:t>as a novel inflammation biom</w:t>
      </w:r>
      <w:r w:rsidR="0093119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arker. However, it’s relationship with postoperative outcome after LDLT was not studied. 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Clinical data of </w:t>
      </w:r>
      <w:r w:rsidR="007B5944">
        <w:rPr>
          <w:rFonts w:ascii="Tw Cen MT" w:eastAsia="Tw Cen MT" w:hAnsi="Tw Cen MT" w:cs="Tw Cen MT"/>
          <w:b w:val="0"/>
          <w:bCs w:val="0"/>
          <w:sz w:val="18"/>
          <w:szCs w:val="18"/>
        </w:rPr>
        <w:t>724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patients undergoing LDLT were retrospectively analyzed. The exclusion criteria included a history of kidney dysfunction, emergency cases, and missing data. After LDLT, 1</w:t>
      </w:r>
      <w:r w:rsid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73 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>patients (23.</w:t>
      </w:r>
      <w:r w:rsidR="007B5944">
        <w:rPr>
          <w:rFonts w:ascii="Tw Cen MT" w:eastAsia="Tw Cen MT" w:hAnsi="Tw Cen MT" w:cs="Tw Cen MT"/>
          <w:b w:val="0"/>
          <w:bCs w:val="0"/>
          <w:sz w:val="18"/>
          <w:szCs w:val="18"/>
        </w:rPr>
        <w:t>8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%) developed AKI. </w:t>
      </w:r>
      <w:r w:rsidR="0093119D">
        <w:rPr>
          <w:rFonts w:ascii="Tw Cen MT" w:eastAsia="Tw Cen MT" w:hAnsi="Tw Cen MT" w:cs="Tw Cen MT"/>
          <w:b w:val="0"/>
          <w:bCs w:val="0"/>
          <w:sz w:val="18"/>
          <w:szCs w:val="18"/>
        </w:rPr>
        <w:t>FAR</w:t>
      </w:r>
      <w:r w:rsidR="00ED576B" w:rsidRP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calculated as </w:t>
      </w:r>
      <w:r w:rsidR="0093119D">
        <w:rPr>
          <w:rFonts w:ascii="Tw Cen MT" w:eastAsia="Tw Cen MT" w:hAnsi="Tw Cen MT" w:cs="Tw Cen MT"/>
          <w:b w:val="0"/>
          <w:bCs w:val="0"/>
          <w:sz w:val="18"/>
          <w:szCs w:val="18"/>
        </w:rPr>
        <w:t>previously reported: fibrinogen (g/L) / albumin (g/L)</w:t>
      </w:r>
      <w:r w:rsidR="00ED576B" w:rsidRPr="00ED576B">
        <w:rPr>
          <w:rFonts w:ascii="Tw Cen MT" w:eastAsia="Tw Cen MT" w:hAnsi="Tw Cen MT" w:cs="Tw Cen MT"/>
          <w:b w:val="0"/>
          <w:bCs w:val="0"/>
          <w:sz w:val="18"/>
          <w:szCs w:val="18"/>
        </w:rPr>
        <w:t>. The cutoff for the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FAR</w:t>
      </w:r>
      <w:r w:rsidR="00ED576B" w:rsidRP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calculated using the time-dependent receiver operating characteristic (ROC) curve analysis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 </w:t>
      </w:r>
      <w:r w:rsidR="007B5944">
        <w:rPr>
          <w:rFonts w:ascii="Tw Cen MT" w:eastAsia="Tw Cen MT" w:hAnsi="Tw Cen MT" w:cs="Tw Cen MT"/>
          <w:b w:val="0"/>
          <w:bCs w:val="0"/>
          <w:sz w:val="18"/>
          <w:szCs w:val="18"/>
        </w:rPr>
        <w:t>l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>ow FAR</w:t>
      </w:r>
      <w:r w:rsidR="00771B9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(&lt;53.82) 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was an independent predictor of postoperative development of AKI in the multivariate analysis when combined with 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>platelet count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>, and hourly urine output. AKI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development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significantly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lower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the high 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>FAR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group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(&gt;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>53.82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)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than in the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low 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>group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(odds ratio [OR], </w:t>
      </w:r>
      <w:r w:rsidR="00ED576B">
        <w:rPr>
          <w:rFonts w:ascii="Tw Cen MT" w:eastAsia="Tw Cen MT" w:hAnsi="Tw Cen MT" w:cs="Tw Cen MT"/>
          <w:b w:val="0"/>
          <w:bCs w:val="0"/>
          <w:sz w:val="18"/>
          <w:szCs w:val="18"/>
        </w:rPr>
        <w:t>1.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>831, 9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5% confidence interval [CI], 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>1.228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>–</w:t>
      </w:r>
      <w:r w:rsidR="00765249">
        <w:rPr>
          <w:rFonts w:ascii="Tw Cen MT" w:eastAsia="Tw Cen MT" w:hAnsi="Tw Cen MT" w:cs="Tw Cen MT"/>
          <w:b w:val="0"/>
          <w:bCs w:val="0"/>
          <w:sz w:val="18"/>
          <w:szCs w:val="18"/>
        </w:rPr>
        <w:t>2.729</w:t>
      </w:r>
      <w:r w:rsidR="007B5944" w:rsidRPr="007B594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). </w:t>
      </w:r>
      <w:r w:rsidR="00C44F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Also, FAR is significantly higher in non-AKI group than AKI group (Fig 1). </w:t>
      </w:r>
      <w:r w:rsidRPr="00CD07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Preoperative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FAR</w:t>
      </w:r>
      <w:r w:rsidRPr="00CD07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measurement will help improve risk stratification for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CD0786">
        <w:rPr>
          <w:rFonts w:ascii="Tw Cen MT" w:eastAsia="Tw Cen MT" w:hAnsi="Tw Cen MT" w:cs="Tw Cen MT"/>
          <w:b w:val="0"/>
          <w:bCs w:val="0"/>
          <w:sz w:val="18"/>
          <w:szCs w:val="18"/>
        </w:rPr>
        <w:t>postoperative AKI development in patients undergoing LDLT.</w:t>
      </w:r>
      <w:r w:rsidRPr="00CD078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67C4011B" w14:textId="11E762E5" w:rsidR="00AE3E37" w:rsidRDefault="005C5BD1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7CE1B1B9" wp14:editId="509F7F67">
            <wp:extent cx="3159760" cy="2047240"/>
            <wp:effectExtent l="0" t="0" r="2540" b="0"/>
            <wp:docPr id="1123499530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60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B4DBC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12196447" w14:textId="402798BF" w:rsidR="005E56F6" w:rsidRDefault="005E56F6" w:rsidP="005C5BD1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5E56F6">
        <w:rPr>
          <w:sz w:val="18"/>
        </w:rPr>
        <w:t>Ertas</w:t>
      </w:r>
      <w:proofErr w:type="spellEnd"/>
      <w:r w:rsidRPr="005E56F6">
        <w:rPr>
          <w:sz w:val="18"/>
        </w:rPr>
        <w:t xml:space="preserve">, </w:t>
      </w:r>
      <w:proofErr w:type="spellStart"/>
      <w:r w:rsidRPr="005E56F6">
        <w:rPr>
          <w:sz w:val="18"/>
        </w:rPr>
        <w:t>Avci</w:t>
      </w:r>
      <w:proofErr w:type="spellEnd"/>
      <w:r w:rsidRPr="005E56F6">
        <w:rPr>
          <w:sz w:val="18"/>
        </w:rPr>
        <w:t xml:space="preserve"> &amp; </w:t>
      </w:r>
      <w:proofErr w:type="spellStart"/>
      <w:r w:rsidRPr="005E56F6">
        <w:rPr>
          <w:sz w:val="18"/>
        </w:rPr>
        <w:t>Kiris</w:t>
      </w:r>
      <w:proofErr w:type="spellEnd"/>
      <w:r w:rsidRPr="005E56F6">
        <w:rPr>
          <w:sz w:val="18"/>
        </w:rPr>
        <w:t xml:space="preserve"> (2019) </w:t>
      </w:r>
      <w:proofErr w:type="spellStart"/>
      <w:r w:rsidRPr="005E56F6">
        <w:rPr>
          <w:sz w:val="18"/>
        </w:rPr>
        <w:t>Ertas</w:t>
      </w:r>
      <w:proofErr w:type="spellEnd"/>
      <w:r w:rsidRPr="005E56F6">
        <w:rPr>
          <w:sz w:val="18"/>
        </w:rPr>
        <w:t xml:space="preserve"> F, </w:t>
      </w:r>
      <w:proofErr w:type="spellStart"/>
      <w:r w:rsidRPr="005E56F6">
        <w:rPr>
          <w:sz w:val="18"/>
        </w:rPr>
        <w:t>Avci</w:t>
      </w:r>
      <w:proofErr w:type="spellEnd"/>
      <w:r w:rsidRPr="005E56F6">
        <w:rPr>
          <w:sz w:val="18"/>
        </w:rPr>
        <w:t xml:space="preserve"> E, </w:t>
      </w:r>
      <w:proofErr w:type="spellStart"/>
      <w:r w:rsidRPr="005E56F6">
        <w:rPr>
          <w:sz w:val="18"/>
        </w:rPr>
        <w:t>Kiris</w:t>
      </w:r>
      <w:proofErr w:type="spellEnd"/>
      <w:r w:rsidRPr="005E56F6">
        <w:rPr>
          <w:sz w:val="18"/>
        </w:rPr>
        <w:t xml:space="preserve"> T. The ratio of fibrinogen to albumin as a predictor of contrast-induced nephropathy after carotid angiography. Angiology. 2019;70(5):458–464. </w:t>
      </w:r>
      <w:proofErr w:type="spellStart"/>
      <w:r w:rsidRPr="005E56F6">
        <w:rPr>
          <w:sz w:val="18"/>
        </w:rPr>
        <w:t>doi</w:t>
      </w:r>
      <w:proofErr w:type="spellEnd"/>
      <w:r w:rsidRPr="005E56F6">
        <w:rPr>
          <w:sz w:val="18"/>
        </w:rPr>
        <w:t>: 10.1177/0003319718809200.</w:t>
      </w:r>
    </w:p>
    <w:p w14:paraId="35B4E9C4" w14:textId="02516ADA" w:rsidR="005E56F6" w:rsidRPr="005E56F6" w:rsidRDefault="005E56F6" w:rsidP="000E2007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5E56F6">
        <w:rPr>
          <w:sz w:val="18"/>
        </w:rPr>
        <w:t xml:space="preserve">X. Bi, Z. </w:t>
      </w:r>
      <w:proofErr w:type="spellStart"/>
      <w:r w:rsidRPr="005E56F6">
        <w:rPr>
          <w:sz w:val="18"/>
        </w:rPr>
        <w:t>Su</w:t>
      </w:r>
      <w:proofErr w:type="spellEnd"/>
      <w:r w:rsidRPr="005E56F6">
        <w:rPr>
          <w:sz w:val="18"/>
        </w:rPr>
        <w:t>, H. Yan, et al.</w:t>
      </w:r>
      <w:r w:rsidRPr="005E56F6">
        <w:rPr>
          <w:sz w:val="18"/>
        </w:rPr>
        <w:t xml:space="preserve"> </w:t>
      </w:r>
      <w:r w:rsidRPr="005E56F6">
        <w:rPr>
          <w:sz w:val="18"/>
        </w:rPr>
        <w:t>Prediction of severe illness due to COVID-19 based on an analysis of initial Fibrinogen to Albumin Ratio and Platelet count.</w:t>
      </w:r>
      <w:r w:rsidRPr="005E56F6">
        <w:rPr>
          <w:sz w:val="18"/>
        </w:rPr>
        <w:t xml:space="preserve"> </w:t>
      </w:r>
      <w:r w:rsidRPr="005E56F6">
        <w:rPr>
          <w:sz w:val="18"/>
        </w:rPr>
        <w:t>Platelets, 31 (2020), pp. 674-679</w:t>
      </w:r>
    </w:p>
    <w:p w14:paraId="254ADA26" w14:textId="48AB9E9F" w:rsidR="005E56F6" w:rsidRDefault="005E56F6" w:rsidP="005E56F6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5E56F6">
        <w:rPr>
          <w:sz w:val="18"/>
        </w:rPr>
        <w:t xml:space="preserve">Karahan O, </w:t>
      </w:r>
      <w:proofErr w:type="spellStart"/>
      <w:r w:rsidRPr="005E56F6">
        <w:rPr>
          <w:sz w:val="18"/>
        </w:rPr>
        <w:t>Acet</w:t>
      </w:r>
      <w:proofErr w:type="spellEnd"/>
      <w:r w:rsidRPr="005E56F6">
        <w:rPr>
          <w:sz w:val="18"/>
        </w:rPr>
        <w:t xml:space="preserve"> H, </w:t>
      </w:r>
      <w:proofErr w:type="spellStart"/>
      <w:r w:rsidRPr="005E56F6">
        <w:rPr>
          <w:sz w:val="18"/>
        </w:rPr>
        <w:t>Ertaş</w:t>
      </w:r>
      <w:proofErr w:type="spellEnd"/>
      <w:r w:rsidRPr="005E56F6">
        <w:rPr>
          <w:sz w:val="18"/>
        </w:rPr>
        <w:t xml:space="preserve"> F, </w:t>
      </w:r>
      <w:proofErr w:type="spellStart"/>
      <w:r w:rsidRPr="005E56F6">
        <w:rPr>
          <w:sz w:val="18"/>
        </w:rPr>
        <w:t>Tezcan</w:t>
      </w:r>
      <w:proofErr w:type="spellEnd"/>
      <w:r w:rsidRPr="005E56F6">
        <w:rPr>
          <w:sz w:val="18"/>
        </w:rPr>
        <w:t xml:space="preserve"> O, </w:t>
      </w:r>
      <w:proofErr w:type="spellStart"/>
      <w:r w:rsidRPr="005E56F6">
        <w:rPr>
          <w:sz w:val="18"/>
        </w:rPr>
        <w:t>Çalişkan</w:t>
      </w:r>
      <w:proofErr w:type="spellEnd"/>
      <w:r w:rsidRPr="005E56F6">
        <w:rPr>
          <w:sz w:val="18"/>
        </w:rPr>
        <w:t xml:space="preserve"> A, Demir M, Kaya AF, Demirtaş S, </w:t>
      </w:r>
      <w:proofErr w:type="spellStart"/>
      <w:r w:rsidRPr="005E56F6">
        <w:rPr>
          <w:sz w:val="18"/>
        </w:rPr>
        <w:t>Çevik</w:t>
      </w:r>
      <w:proofErr w:type="spellEnd"/>
      <w:r w:rsidRPr="005E56F6">
        <w:rPr>
          <w:sz w:val="18"/>
        </w:rPr>
        <w:t xml:space="preserve"> MU, Yavuz C. The relationship between fibrinogen to albumin ratio and severity of coronary artery disease in patients with STEMI. Am J </w:t>
      </w:r>
      <w:proofErr w:type="spellStart"/>
      <w:r w:rsidRPr="005E56F6">
        <w:rPr>
          <w:sz w:val="18"/>
        </w:rPr>
        <w:t>Emerg</w:t>
      </w:r>
      <w:proofErr w:type="spellEnd"/>
      <w:r w:rsidRPr="005E56F6">
        <w:rPr>
          <w:sz w:val="18"/>
        </w:rPr>
        <w:t xml:space="preserve"> Med. 2016;34(6):1037–42.</w:t>
      </w:r>
    </w:p>
    <w:p w14:paraId="32B4E006" w14:textId="104789B6" w:rsidR="005E56F6" w:rsidRPr="005E56F6" w:rsidRDefault="005E56F6" w:rsidP="005E56F6">
      <w:pPr>
        <w:pStyle w:val="a4"/>
        <w:numPr>
          <w:ilvl w:val="0"/>
          <w:numId w:val="3"/>
        </w:numPr>
        <w:rPr>
          <w:sz w:val="18"/>
        </w:rPr>
      </w:pPr>
      <w:r w:rsidRPr="005E56F6">
        <w:rPr>
          <w:sz w:val="18"/>
        </w:rPr>
        <w:t>M. Liu, Y. Huang, Z. Huang, et al.</w:t>
      </w:r>
      <w:r>
        <w:rPr>
          <w:sz w:val="18"/>
        </w:rPr>
        <w:t xml:space="preserve"> </w:t>
      </w:r>
      <w:r w:rsidRPr="005E56F6">
        <w:rPr>
          <w:sz w:val="18"/>
        </w:rPr>
        <w:t>The role of fibrinogen to albumin ratio in ankylosing spondylitis: correlation with disease activity.</w:t>
      </w:r>
      <w:r>
        <w:rPr>
          <w:sz w:val="18"/>
        </w:rPr>
        <w:t xml:space="preserve"> </w:t>
      </w:r>
      <w:r w:rsidRPr="005E56F6">
        <w:rPr>
          <w:sz w:val="18"/>
        </w:rPr>
        <w:t xml:space="preserve">Clin </w:t>
      </w:r>
      <w:proofErr w:type="spellStart"/>
      <w:r w:rsidRPr="005E56F6">
        <w:rPr>
          <w:sz w:val="18"/>
        </w:rPr>
        <w:t>Chim</w:t>
      </w:r>
      <w:proofErr w:type="spellEnd"/>
      <w:r w:rsidRPr="005E56F6">
        <w:rPr>
          <w:sz w:val="18"/>
        </w:rPr>
        <w:t xml:space="preserve"> Acta, 505 (2020), pp. 136-140</w:t>
      </w:r>
      <w:r w:rsidRPr="005E56F6">
        <w:rPr>
          <w:sz w:val="18"/>
        </w:rPr>
        <w:t xml:space="preserve"> </w:t>
      </w:r>
    </w:p>
    <w:p w14:paraId="122698E8" w14:textId="7809ED4C" w:rsidR="00AE3E37" w:rsidRPr="005C5BD1" w:rsidRDefault="005E56F6" w:rsidP="005E56F6">
      <w:pPr>
        <w:pStyle w:val="a4"/>
        <w:numPr>
          <w:ilvl w:val="0"/>
          <w:numId w:val="3"/>
        </w:numPr>
        <w:sectPr w:rsidR="00AE3E37" w:rsidRPr="005C5BD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5E56F6">
        <w:rPr>
          <w:sz w:val="18"/>
        </w:rPr>
        <w:t>Yu Zhang</w:t>
      </w:r>
      <w:r>
        <w:rPr>
          <w:sz w:val="18"/>
        </w:rPr>
        <w:t>,</w:t>
      </w:r>
      <w:r w:rsidRPr="005E56F6">
        <w:rPr>
          <w:sz w:val="18"/>
        </w:rPr>
        <w:t xml:space="preserve"> </w:t>
      </w:r>
      <w:proofErr w:type="spellStart"/>
      <w:r w:rsidRPr="005E56F6">
        <w:rPr>
          <w:sz w:val="18"/>
        </w:rPr>
        <w:t>Liping</w:t>
      </w:r>
      <w:proofErr w:type="spellEnd"/>
      <w:r w:rsidRPr="005E56F6">
        <w:rPr>
          <w:sz w:val="18"/>
        </w:rPr>
        <w:t xml:space="preserve"> Man</w:t>
      </w:r>
      <w:r w:rsidR="005C5BD1">
        <w:rPr>
          <w:sz w:val="18"/>
        </w:rPr>
        <w:t xml:space="preserve">, et al. </w:t>
      </w:r>
      <w:r w:rsidRPr="005E56F6">
        <w:rPr>
          <w:sz w:val="18"/>
        </w:rPr>
        <w:t>Albumin-to-fibrinogen ratio is an independent predictor of corticosteroid response and prognosis in patients with IgA nephropathy</w:t>
      </w:r>
      <w:r>
        <w:rPr>
          <w:sz w:val="18"/>
        </w:rPr>
        <w:t xml:space="preserve">. </w:t>
      </w:r>
      <w:r w:rsidRPr="005E56F6">
        <w:rPr>
          <w:sz w:val="18"/>
        </w:rPr>
        <w:t>European Journal of Medical Research volume 28, Article number: 146 (2023)</w:t>
      </w:r>
    </w:p>
    <w:p w14:paraId="6DC4A617" w14:textId="77777777"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2C24A7D5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D546CBE" wp14:editId="2ADCA60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CE589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5476A60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6DD9BDFE" wp14:editId="555AB19B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6FC8B01A" w14:textId="44D133AD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r w:rsidR="002E151B">
        <w:rPr>
          <w:rFonts w:ascii="Arial"/>
          <w:sz w:val="14"/>
        </w:rPr>
        <w:t xml:space="preserve">. </w:t>
      </w:r>
      <w:r w:rsidR="002E151B" w:rsidRPr="002E151B">
        <w:rPr>
          <w:rFonts w:ascii="Arial"/>
          <w:sz w:val="14"/>
        </w:rPr>
        <w:t>Min A. Joo</w:t>
      </w:r>
      <w:r w:rsidR="002E151B">
        <w:rPr>
          <w:rFonts w:ascii="Arial"/>
          <w:sz w:val="14"/>
        </w:rPr>
        <w:t xml:space="preserve"> </w:t>
      </w:r>
      <w:r w:rsidR="007B31E2">
        <w:rPr>
          <w:rFonts w:ascii="Arial"/>
          <w:sz w:val="14"/>
        </w:rPr>
        <w:t>h</w:t>
      </w:r>
      <w:r>
        <w:rPr>
          <w:rFonts w:ascii="Arial"/>
          <w:sz w:val="14"/>
        </w:rPr>
        <w:t xml:space="preserve">as </w:t>
      </w:r>
      <w:r w:rsidR="007B31E2">
        <w:rPr>
          <w:rFonts w:ascii="Arial"/>
          <w:sz w:val="14"/>
        </w:rPr>
        <w:t xml:space="preserve">his </w:t>
      </w:r>
      <w:r>
        <w:rPr>
          <w:rFonts w:ascii="Arial"/>
          <w:sz w:val="14"/>
        </w:rPr>
        <w:t xml:space="preserve">expertise in </w:t>
      </w:r>
      <w:r w:rsidR="00CD0786">
        <w:rPr>
          <w:rFonts w:ascii="Arial"/>
          <w:sz w:val="14"/>
        </w:rPr>
        <w:t>general anesthesia</w:t>
      </w:r>
      <w:r w:rsidR="007B31E2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  <w:r w:rsidR="002E151B">
        <w:rPr>
          <w:rFonts w:ascii="Arial"/>
          <w:sz w:val="14"/>
        </w:rPr>
        <w:t>She</w:t>
      </w:r>
      <w:r w:rsidR="007B31E2" w:rsidRPr="007B31E2">
        <w:rPr>
          <w:rFonts w:ascii="Arial"/>
          <w:sz w:val="14"/>
        </w:rPr>
        <w:t xml:space="preserve"> has spent years studying </w:t>
      </w:r>
      <w:r w:rsidR="00CD0786">
        <w:rPr>
          <w:rFonts w:ascii="Arial"/>
          <w:sz w:val="14"/>
        </w:rPr>
        <w:t>perioperative management for patient undergoing</w:t>
      </w:r>
      <w:r w:rsidR="007B31E2" w:rsidRPr="007B31E2">
        <w:rPr>
          <w:rFonts w:ascii="Arial"/>
          <w:sz w:val="14"/>
        </w:rPr>
        <w:t xml:space="preserve"> </w:t>
      </w:r>
      <w:r w:rsidR="00CD0786">
        <w:rPr>
          <w:rFonts w:ascii="Arial"/>
          <w:sz w:val="14"/>
        </w:rPr>
        <w:t>organ transplantation</w:t>
      </w:r>
      <w:r w:rsidR="007B31E2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</w:t>
      </w:r>
    </w:p>
    <w:p w14:paraId="0118BD60" w14:textId="0159DAEC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B31E2" w:rsidRPr="00B40C42">
          <w:rPr>
            <w:rStyle w:val="a8"/>
            <w:rFonts w:ascii="Arial"/>
            <w:sz w:val="14"/>
          </w:rPr>
          <w:t>jaesik.park@gmail.com</w:t>
        </w:r>
      </w:hyperlink>
    </w:p>
    <w:p w14:paraId="2D25BCF4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35C7CB9" wp14:editId="5E2990E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98170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1BCEB582" w14:textId="77777777" w:rsidR="00AE3E37" w:rsidRDefault="00AE3E37">
      <w:pPr>
        <w:pStyle w:val="a3"/>
        <w:rPr>
          <w:rFonts w:ascii="Arial"/>
          <w:sz w:val="20"/>
        </w:rPr>
      </w:pPr>
    </w:p>
    <w:p w14:paraId="64160B89" w14:textId="77777777" w:rsidR="00AE3E37" w:rsidRDefault="00AE3E37">
      <w:pPr>
        <w:pStyle w:val="a3"/>
        <w:rPr>
          <w:rFonts w:ascii="Arial"/>
          <w:sz w:val="20"/>
        </w:rPr>
      </w:pPr>
    </w:p>
    <w:p w14:paraId="3CC57E05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7F804F8B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8787D81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173C15D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CFFC0" w14:textId="77777777" w:rsidR="00DD19C2" w:rsidRDefault="00DD19C2">
      <w:r>
        <w:separator/>
      </w:r>
    </w:p>
  </w:endnote>
  <w:endnote w:type="continuationSeparator" w:id="0">
    <w:p w14:paraId="51AB2830" w14:textId="77777777" w:rsidR="00DD19C2" w:rsidRDefault="00DD1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5C216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DDEE01F" wp14:editId="7A48E1C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ECA51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994688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DEE0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71AECA51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994688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90B3576" wp14:editId="1E0ECE8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2B79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CC97AF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0B3576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0782B79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CC97AF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914EE26" wp14:editId="730105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0F56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D7EEBF3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14EE2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5E0F56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D7EEBF3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81473" w14:textId="77777777" w:rsidR="00DD19C2" w:rsidRDefault="00DD19C2">
      <w:r>
        <w:separator/>
      </w:r>
    </w:p>
  </w:footnote>
  <w:footnote w:type="continuationSeparator" w:id="0">
    <w:p w14:paraId="1011B940" w14:textId="77777777" w:rsidR="00DD19C2" w:rsidRDefault="00DD1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46AA9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ABCF037" wp14:editId="1D58589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4FA11E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BCF0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094FA11E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14BF7FD" wp14:editId="3A75A24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C45796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B60D4C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4BF7FD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34C45796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B60D4C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0D583EB6"/>
    <w:lvl w:ilvl="0" w:tplc="3AA2B088">
      <w:start w:val="1"/>
      <w:numFmt w:val="decimal"/>
      <w:lvlText w:val="%1."/>
      <w:lvlJc w:val="left"/>
      <w:pPr>
        <w:ind w:left="383" w:hanging="284"/>
      </w:pPr>
      <w:rPr>
        <w:rFonts w:ascii="Tw Cen MT" w:eastAsia="Tw Cen MT" w:hAnsi="Tw Cen MT" w:cs="Tw Cen M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389497843">
    <w:abstractNumId w:val="0"/>
  </w:num>
  <w:num w:numId="2" w16cid:durableId="1015769546">
    <w:abstractNumId w:val="1"/>
  </w:num>
  <w:num w:numId="3" w16cid:durableId="130423375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71105"/>
    <w:rsid w:val="00292ED9"/>
    <w:rsid w:val="002E151B"/>
    <w:rsid w:val="00314AFB"/>
    <w:rsid w:val="003B76D9"/>
    <w:rsid w:val="00404E5B"/>
    <w:rsid w:val="00414F7B"/>
    <w:rsid w:val="004355DC"/>
    <w:rsid w:val="004749B4"/>
    <w:rsid w:val="00494130"/>
    <w:rsid w:val="004959FB"/>
    <w:rsid w:val="004F3523"/>
    <w:rsid w:val="005973B9"/>
    <w:rsid w:val="005B3A56"/>
    <w:rsid w:val="005B542A"/>
    <w:rsid w:val="005C5BD1"/>
    <w:rsid w:val="005E56F6"/>
    <w:rsid w:val="006060CE"/>
    <w:rsid w:val="00613F88"/>
    <w:rsid w:val="0063497F"/>
    <w:rsid w:val="00765249"/>
    <w:rsid w:val="00771B93"/>
    <w:rsid w:val="0078738A"/>
    <w:rsid w:val="007B31E2"/>
    <w:rsid w:val="007B5944"/>
    <w:rsid w:val="00873DF0"/>
    <w:rsid w:val="008756E6"/>
    <w:rsid w:val="0093119D"/>
    <w:rsid w:val="009B2D44"/>
    <w:rsid w:val="00A07E82"/>
    <w:rsid w:val="00A9710C"/>
    <w:rsid w:val="00AE3DD3"/>
    <w:rsid w:val="00AE3E37"/>
    <w:rsid w:val="00B21A57"/>
    <w:rsid w:val="00C33602"/>
    <w:rsid w:val="00C44FA5"/>
    <w:rsid w:val="00CD0786"/>
    <w:rsid w:val="00CD6F55"/>
    <w:rsid w:val="00D62425"/>
    <w:rsid w:val="00DD19C2"/>
    <w:rsid w:val="00DE3104"/>
    <w:rsid w:val="00ED576B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06D2F7"/>
  <w15:docId w15:val="{E54E07EE-5EE0-4AAC-980C-1E57C647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7B3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1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94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0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0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esik.park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468</Words>
  <Characters>2672</Characters>
  <Application>Microsoft Office Word</Application>
  <DocSecurity>0</DocSecurity>
  <Lines>22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PakrJaesik</cp:lastModifiedBy>
  <cp:revision>13</cp:revision>
  <dcterms:created xsi:type="dcterms:W3CDTF">2023-05-15T17:40:00Z</dcterms:created>
  <dcterms:modified xsi:type="dcterms:W3CDTF">2023-05-15T17:56:00Z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