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8A0ED" w14:textId="77777777" w:rsidR="00AE3E37" w:rsidRDefault="00154898" w:rsidP="00494130">
      <w:pPr>
        <w:pStyle w:val="Heading1"/>
        <w:spacing w:before="170"/>
        <w:ind w:left="0"/>
      </w:pPr>
      <w:r>
        <w:rPr>
          <w:color w:val="337AB7"/>
        </w:rPr>
        <w:t>A retrospective cohort study of patients referred to the preoperative assessment risk clinic with colorectal cancer at a district general hospital</w:t>
      </w:r>
    </w:p>
    <w:p w14:paraId="3532929E" w14:textId="77777777" w:rsidR="00154898" w:rsidRDefault="00154898">
      <w:pPr>
        <w:pStyle w:val="BodyText"/>
        <w:rPr>
          <w:rStyle w:val="normaltextrun"/>
          <w:rFonts w:ascii="Calibri" w:hAnsi="Calibri" w:cs="Calibri"/>
          <w:color w:val="000000"/>
          <w:shd w:val="clear" w:color="auto" w:fill="FFFFFF"/>
        </w:rPr>
      </w:pPr>
    </w:p>
    <w:p w14:paraId="702F8E2A" w14:textId="77777777" w:rsidR="00AE3E37" w:rsidRDefault="00154898">
      <w:pPr>
        <w:pStyle w:val="BodyText"/>
        <w:rPr>
          <w:rFonts w:ascii="Arial"/>
          <w:sz w:val="20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>O. Morey, C. Limb,</w:t>
      </w:r>
      <w:r>
        <w:rPr>
          <w:rStyle w:val="normaltextrun"/>
          <w:color w:val="000000"/>
          <w:shd w:val="clear" w:color="auto" w:fill="FFFFFF"/>
        </w:rPr>
        <w:t> 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G. </w:t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</w:rPr>
        <w:t>Mclachlan</w:t>
      </w:r>
      <w:proofErr w:type="spellEnd"/>
      <w:r>
        <w:rPr>
          <w:rStyle w:val="normaltextrun"/>
          <w:color w:val="000000"/>
          <w:shd w:val="clear" w:color="auto" w:fill="FFFFFF"/>
        </w:rPr>
        <w:t>, 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H. </w:t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</w:rPr>
        <w:t>Wakeling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>, S. </w:t>
      </w:r>
      <w:proofErr w:type="spellStart"/>
      <w:r>
        <w:rPr>
          <w:rStyle w:val="spellingerror"/>
          <w:rFonts w:ascii="Calibri" w:hAnsi="Calibri" w:cs="Calibri"/>
          <w:color w:val="000000"/>
          <w:shd w:val="clear" w:color="auto" w:fill="FFFFFF"/>
        </w:rPr>
        <w:t>Calderbank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> and G. Colucci.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14:paraId="6B6DC822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DA3A953" w14:textId="77777777" w:rsidR="00154898" w:rsidRDefault="00154898" w:rsidP="00154898">
      <w:pPr>
        <w:pStyle w:val="Heading3"/>
        <w:spacing w:before="147"/>
        <w:ind w:left="0"/>
        <w:jc w:val="both"/>
      </w:pPr>
      <w:r w:rsidRPr="00154898">
        <w:t>ABSTRACT</w:t>
      </w:r>
    </w:p>
    <w:p w14:paraId="3AA3C16D" w14:textId="77777777" w:rsidR="00154898" w:rsidRPr="00154898" w:rsidRDefault="00154898" w:rsidP="00154898">
      <w:pPr>
        <w:pStyle w:val="Heading3"/>
        <w:spacing w:before="147"/>
        <w:ind w:left="0"/>
        <w:jc w:val="both"/>
        <w:rPr>
          <w:sz w:val="2"/>
        </w:rPr>
      </w:pPr>
    </w:p>
    <w:p w14:paraId="37403835" w14:textId="77777777" w:rsidR="00154898" w:rsidRPr="00154898" w:rsidRDefault="00154898" w:rsidP="00154898">
      <w:pPr>
        <w:pStyle w:val="paragraph"/>
        <w:spacing w:before="0" w:beforeAutospacing="0" w:after="0" w:afterAutospacing="0"/>
        <w:ind w:left="360"/>
        <w:textAlignment w:val="baseline"/>
        <w:rPr>
          <w:rFonts w:ascii="Tw Cen MT" w:hAnsi="Tw Cen MT" w:cs="Segoe UI"/>
          <w:sz w:val="12"/>
          <w:szCs w:val="18"/>
        </w:rPr>
      </w:pPr>
      <w:r w:rsidRPr="00154898">
        <w:rPr>
          <w:rStyle w:val="normaltextrun"/>
          <w:rFonts w:ascii="Tw Cen MT" w:hAnsi="Tw Cen MT" w:cs="Calibri"/>
          <w:b/>
          <w:bCs/>
          <w:sz w:val="18"/>
        </w:rPr>
        <w:t>Objectives</w:t>
      </w:r>
      <w:r w:rsidRPr="00154898">
        <w:rPr>
          <w:rStyle w:val="eop"/>
          <w:rFonts w:ascii="Tw Cen MT" w:eastAsia="Tw Cen MT" w:hAnsi="Tw Cen MT" w:cs="Calibri"/>
          <w:sz w:val="18"/>
        </w:rPr>
        <w:t> </w:t>
      </w:r>
    </w:p>
    <w:p w14:paraId="35B91947" w14:textId="47A73189" w:rsidR="00154898" w:rsidRPr="00154898" w:rsidRDefault="00154898" w:rsidP="00154898">
      <w:pPr>
        <w:pStyle w:val="paragraph"/>
        <w:spacing w:before="0" w:beforeAutospacing="0" w:after="0" w:afterAutospacing="0"/>
        <w:ind w:left="360"/>
        <w:textAlignment w:val="baseline"/>
        <w:rPr>
          <w:rFonts w:ascii="Tw Cen MT" w:hAnsi="Tw Cen MT" w:cs="Segoe UI"/>
          <w:sz w:val="12"/>
          <w:szCs w:val="18"/>
        </w:rPr>
      </w:pPr>
      <w:r w:rsidRPr="00154898">
        <w:rPr>
          <w:rStyle w:val="normaltextrun"/>
          <w:rFonts w:ascii="Tw Cen MT" w:hAnsi="Tw Cen MT" w:cs="Calibri"/>
          <w:sz w:val="18"/>
        </w:rPr>
        <w:t>Colorectal cancer has a high prevalence in the older population; a cohort with an increased risk of perioperative and postoperative morbidity and mortality</w:t>
      </w:r>
      <w:r w:rsidR="00352F38">
        <w:rPr>
          <w:rStyle w:val="normaltextrun"/>
          <w:rFonts w:ascii="Tw Cen MT" w:hAnsi="Tw Cen MT" w:cs="Calibri"/>
          <w:sz w:val="18"/>
        </w:rPr>
        <w:t xml:space="preserve"> due to coexisting </w:t>
      </w:r>
      <w:r w:rsidRPr="00154898">
        <w:rPr>
          <w:rStyle w:val="normaltextrun"/>
          <w:rFonts w:ascii="Tw Cen MT" w:hAnsi="Tw Cen MT" w:cs="Calibri"/>
          <w:sz w:val="18"/>
        </w:rPr>
        <w:t xml:space="preserve">morbidities, the reduced functional capacity, and social difficulties. The pre-operative period can be utilised to optimise patient’s health with the aim of reducing both postsurgical complications and </w:t>
      </w:r>
      <w:r w:rsidR="00352F38">
        <w:rPr>
          <w:rStyle w:val="normaltextrun"/>
          <w:rFonts w:ascii="Tw Cen MT" w:hAnsi="Tw Cen MT" w:cs="Calibri"/>
          <w:sz w:val="18"/>
        </w:rPr>
        <w:t xml:space="preserve">mortality. </w:t>
      </w:r>
    </w:p>
    <w:p w14:paraId="190B9256" w14:textId="77777777" w:rsidR="00154898" w:rsidRPr="00154898" w:rsidRDefault="00154898" w:rsidP="00154898">
      <w:pPr>
        <w:pStyle w:val="paragraph"/>
        <w:spacing w:before="0" w:beforeAutospacing="0" w:after="0" w:afterAutospacing="0"/>
        <w:ind w:left="360"/>
        <w:textAlignment w:val="baseline"/>
        <w:rPr>
          <w:rFonts w:ascii="Tw Cen MT" w:hAnsi="Tw Cen MT" w:cs="Segoe UI"/>
          <w:sz w:val="12"/>
          <w:szCs w:val="18"/>
        </w:rPr>
      </w:pPr>
      <w:r w:rsidRPr="00154898">
        <w:rPr>
          <w:rStyle w:val="eop"/>
          <w:rFonts w:ascii="Tw Cen MT" w:eastAsia="Tw Cen MT" w:hAnsi="Tw Cen MT"/>
          <w:sz w:val="18"/>
        </w:rPr>
        <w:t> </w:t>
      </w:r>
    </w:p>
    <w:p w14:paraId="6BF9A30A" w14:textId="77777777" w:rsidR="00154898" w:rsidRPr="00154898" w:rsidRDefault="00154898" w:rsidP="00154898">
      <w:pPr>
        <w:pStyle w:val="paragraph"/>
        <w:spacing w:before="0" w:beforeAutospacing="0" w:after="0" w:afterAutospacing="0"/>
        <w:ind w:left="360"/>
        <w:textAlignment w:val="baseline"/>
        <w:rPr>
          <w:rFonts w:ascii="Tw Cen MT" w:hAnsi="Tw Cen MT" w:cs="Segoe UI"/>
          <w:sz w:val="12"/>
          <w:szCs w:val="18"/>
        </w:rPr>
      </w:pPr>
      <w:r w:rsidRPr="00154898">
        <w:rPr>
          <w:rStyle w:val="normaltextrun"/>
          <w:rFonts w:ascii="Tw Cen MT" w:hAnsi="Tw Cen MT" w:cs="Calibri"/>
          <w:b/>
          <w:bCs/>
          <w:sz w:val="18"/>
        </w:rPr>
        <w:t>Methods</w:t>
      </w:r>
      <w:r w:rsidRPr="00154898">
        <w:rPr>
          <w:rStyle w:val="eop"/>
          <w:rFonts w:ascii="Tw Cen MT" w:eastAsia="Tw Cen MT" w:hAnsi="Tw Cen MT" w:cs="Calibri"/>
          <w:sz w:val="18"/>
        </w:rPr>
        <w:t> </w:t>
      </w:r>
    </w:p>
    <w:p w14:paraId="62F0A081" w14:textId="4AFEBCA4" w:rsidR="00154898" w:rsidRPr="00154898" w:rsidRDefault="00154898" w:rsidP="00154898">
      <w:pPr>
        <w:pStyle w:val="paragraph"/>
        <w:spacing w:before="0" w:beforeAutospacing="0" w:after="0" w:afterAutospacing="0"/>
        <w:ind w:left="360"/>
        <w:textAlignment w:val="baseline"/>
        <w:rPr>
          <w:rFonts w:ascii="Tw Cen MT" w:hAnsi="Tw Cen MT" w:cs="Segoe UI"/>
          <w:sz w:val="12"/>
          <w:szCs w:val="18"/>
        </w:rPr>
      </w:pPr>
      <w:r w:rsidRPr="00154898">
        <w:rPr>
          <w:rStyle w:val="normaltextrun"/>
          <w:rFonts w:ascii="Tw Cen MT" w:hAnsi="Tw Cen MT" w:cs="Calibri"/>
          <w:sz w:val="18"/>
        </w:rPr>
        <w:t>Between February 2014 and October 2016, 48 patients (25 male and 23 female) &gt; 50years old with a diagnosis of colorectal cancer were referred to pre-operative anaesthetic review clinic (PARC) at Worthing hospital (WH)</w:t>
      </w:r>
      <w:r w:rsidRPr="00154898">
        <w:rPr>
          <w:rStyle w:val="normaltextrun"/>
          <w:rFonts w:ascii="Tw Cen MT" w:hAnsi="Tw Cen MT"/>
          <w:sz w:val="18"/>
        </w:rPr>
        <w:t> </w:t>
      </w:r>
      <w:r w:rsidRPr="00154898">
        <w:rPr>
          <w:rStyle w:val="normaltextrun"/>
          <w:rFonts w:ascii="Tw Cen MT" w:hAnsi="Tw Cen MT" w:cs="Calibri"/>
          <w:sz w:val="18"/>
        </w:rPr>
        <w:t xml:space="preserve">as they were deemed at high risk of peri/postoperative complications. The </w:t>
      </w:r>
      <w:r w:rsidR="004F4AAD">
        <w:rPr>
          <w:rStyle w:val="normaltextrun"/>
          <w:rFonts w:ascii="Tw Cen MT" w:hAnsi="Tw Cen MT" w:cs="Calibri"/>
          <w:sz w:val="18"/>
        </w:rPr>
        <w:t xml:space="preserve">project </w:t>
      </w:r>
      <w:r w:rsidR="006E221A">
        <w:rPr>
          <w:rStyle w:val="normaltextrun"/>
          <w:rFonts w:ascii="Tw Cen MT" w:hAnsi="Tw Cen MT" w:cs="Calibri"/>
          <w:sz w:val="18"/>
        </w:rPr>
        <w:t xml:space="preserve">aim </w:t>
      </w:r>
      <w:r w:rsidRPr="00154898">
        <w:rPr>
          <w:rStyle w:val="normaltextrun"/>
          <w:rFonts w:ascii="Tw Cen MT" w:hAnsi="Tw Cen MT" w:cs="Calibri"/>
          <w:sz w:val="18"/>
        </w:rPr>
        <w:t>is to identify whether the PARC improves patient outcome after colorectal surgery.</w:t>
      </w:r>
      <w:r w:rsidRPr="00154898">
        <w:rPr>
          <w:rStyle w:val="eop"/>
          <w:rFonts w:ascii="Tw Cen MT" w:eastAsia="Tw Cen MT" w:hAnsi="Tw Cen MT" w:cs="Calibri"/>
          <w:sz w:val="18"/>
        </w:rPr>
        <w:t> </w:t>
      </w:r>
    </w:p>
    <w:p w14:paraId="444A6807" w14:textId="77777777" w:rsidR="00154898" w:rsidRPr="00154898" w:rsidRDefault="00154898" w:rsidP="00154898">
      <w:pPr>
        <w:pStyle w:val="paragraph"/>
        <w:spacing w:before="0" w:beforeAutospacing="0" w:after="0" w:afterAutospacing="0"/>
        <w:ind w:left="360"/>
        <w:textAlignment w:val="baseline"/>
        <w:rPr>
          <w:rFonts w:ascii="Tw Cen MT" w:hAnsi="Tw Cen MT" w:cs="Segoe UI"/>
          <w:sz w:val="12"/>
          <w:szCs w:val="18"/>
        </w:rPr>
      </w:pPr>
      <w:r w:rsidRPr="00154898">
        <w:rPr>
          <w:rStyle w:val="eop"/>
          <w:rFonts w:ascii="Tw Cen MT" w:eastAsia="Tw Cen MT" w:hAnsi="Tw Cen MT"/>
          <w:sz w:val="18"/>
        </w:rPr>
        <w:t> </w:t>
      </w:r>
    </w:p>
    <w:p w14:paraId="7585B559" w14:textId="77777777" w:rsidR="00154898" w:rsidRPr="00154898" w:rsidRDefault="00154898" w:rsidP="00154898">
      <w:pPr>
        <w:pStyle w:val="paragraph"/>
        <w:spacing w:before="0" w:beforeAutospacing="0" w:after="0" w:afterAutospacing="0"/>
        <w:ind w:left="360"/>
        <w:textAlignment w:val="baseline"/>
        <w:rPr>
          <w:rFonts w:ascii="Tw Cen MT" w:hAnsi="Tw Cen MT" w:cs="Segoe UI"/>
          <w:sz w:val="12"/>
          <w:szCs w:val="18"/>
        </w:rPr>
      </w:pPr>
      <w:r w:rsidRPr="00154898">
        <w:rPr>
          <w:rStyle w:val="normaltextrun"/>
          <w:rFonts w:ascii="Tw Cen MT" w:hAnsi="Tw Cen MT" w:cs="Calibri"/>
          <w:b/>
          <w:bCs/>
          <w:sz w:val="18"/>
        </w:rPr>
        <w:t>Results</w:t>
      </w:r>
      <w:r w:rsidRPr="00154898">
        <w:rPr>
          <w:rStyle w:val="eop"/>
          <w:rFonts w:ascii="Tw Cen MT" w:eastAsia="Tw Cen MT" w:hAnsi="Tw Cen MT" w:cs="Calibri"/>
          <w:sz w:val="18"/>
        </w:rPr>
        <w:t> </w:t>
      </w:r>
    </w:p>
    <w:p w14:paraId="258B0B3F" w14:textId="474FDB48" w:rsidR="00154898" w:rsidRPr="00154898" w:rsidRDefault="00352F38" w:rsidP="00154898">
      <w:pPr>
        <w:pStyle w:val="paragraph"/>
        <w:spacing w:before="0" w:beforeAutospacing="0" w:after="0" w:afterAutospacing="0"/>
        <w:ind w:left="360"/>
        <w:textAlignment w:val="baseline"/>
        <w:rPr>
          <w:rFonts w:ascii="Tw Cen MT" w:hAnsi="Tw Cen MT" w:cs="Segoe UI"/>
          <w:sz w:val="12"/>
          <w:szCs w:val="18"/>
        </w:rPr>
      </w:pPr>
      <w:r>
        <w:rPr>
          <w:rStyle w:val="normaltextrun"/>
          <w:rFonts w:ascii="Tw Cen MT" w:hAnsi="Tw Cen MT" w:cs="Calibri"/>
          <w:sz w:val="18"/>
        </w:rPr>
        <w:t xml:space="preserve">After the initial assessment, 12 patients </w:t>
      </w:r>
      <w:r w:rsidR="00154898" w:rsidRPr="00154898">
        <w:rPr>
          <w:rStyle w:val="normaltextrun"/>
          <w:rFonts w:ascii="Tw Cen MT" w:hAnsi="Tw Cen MT" w:cs="Calibri"/>
          <w:sz w:val="18"/>
        </w:rPr>
        <w:t>(24</w:t>
      </w:r>
      <w:r w:rsidR="007D7051">
        <w:rPr>
          <w:rStyle w:val="normaltextrun"/>
          <w:rFonts w:ascii="Tw Cen MT" w:hAnsi="Tw Cen MT" w:cs="Calibri"/>
          <w:sz w:val="18"/>
        </w:rPr>
        <w:t>%</w:t>
      </w:r>
      <w:r w:rsidR="00154898" w:rsidRPr="00154898">
        <w:rPr>
          <w:rStyle w:val="normaltextrun"/>
          <w:rFonts w:ascii="Tw Cen MT" w:hAnsi="Tw Cen MT" w:cs="Calibri"/>
          <w:sz w:val="18"/>
        </w:rPr>
        <w:t xml:space="preserve">) </w:t>
      </w:r>
      <w:r w:rsidR="007D7051">
        <w:rPr>
          <w:rStyle w:val="normaltextrun"/>
          <w:rFonts w:ascii="Tw Cen MT" w:hAnsi="Tw Cen MT" w:cs="Calibri"/>
          <w:sz w:val="18"/>
        </w:rPr>
        <w:t>were considered</w:t>
      </w:r>
      <w:r w:rsidR="00A106B5">
        <w:rPr>
          <w:rStyle w:val="normaltextrun"/>
          <w:rFonts w:ascii="Tw Cen MT" w:hAnsi="Tw Cen MT" w:cs="Calibri"/>
          <w:sz w:val="18"/>
        </w:rPr>
        <w:t xml:space="preserve"> </w:t>
      </w:r>
      <w:r w:rsidR="007D7051">
        <w:rPr>
          <w:rStyle w:val="normaltextrun"/>
          <w:rFonts w:ascii="Tw Cen MT" w:hAnsi="Tw Cen MT" w:cs="Calibri"/>
          <w:sz w:val="18"/>
        </w:rPr>
        <w:t xml:space="preserve">fit for surgery while </w:t>
      </w:r>
      <w:r w:rsidR="00EC3B07">
        <w:rPr>
          <w:rStyle w:val="normaltextrun"/>
          <w:rFonts w:ascii="Tw Cen MT" w:hAnsi="Tw Cen MT" w:cs="Calibri"/>
          <w:sz w:val="18"/>
        </w:rPr>
        <w:t>12</w:t>
      </w:r>
      <w:r w:rsidR="007D7051">
        <w:rPr>
          <w:rStyle w:val="normaltextrun"/>
          <w:rFonts w:ascii="Tw Cen MT" w:hAnsi="Tw Cen MT" w:cs="Calibri"/>
          <w:sz w:val="18"/>
        </w:rPr>
        <w:t xml:space="preserve"> patient</w:t>
      </w:r>
      <w:r>
        <w:rPr>
          <w:rStyle w:val="normaltextrun"/>
          <w:rFonts w:ascii="Tw Cen MT" w:hAnsi="Tw Cen MT" w:cs="Calibri"/>
          <w:sz w:val="18"/>
        </w:rPr>
        <w:t>s</w:t>
      </w:r>
      <w:r w:rsidR="007D7051">
        <w:rPr>
          <w:rStyle w:val="normaltextrun"/>
          <w:rFonts w:ascii="Tw Cen MT" w:hAnsi="Tw Cen MT" w:cs="Calibri"/>
          <w:sz w:val="18"/>
        </w:rPr>
        <w:t xml:space="preserve"> </w:t>
      </w:r>
      <w:r>
        <w:rPr>
          <w:rStyle w:val="normaltextrun"/>
          <w:rFonts w:ascii="Tw Cen MT" w:hAnsi="Tw Cen MT" w:cs="Calibri"/>
          <w:sz w:val="18"/>
        </w:rPr>
        <w:t xml:space="preserve">were either consider unfit </w:t>
      </w:r>
      <w:r w:rsidR="00EC3B07">
        <w:rPr>
          <w:rStyle w:val="normaltextrun"/>
          <w:rFonts w:ascii="Tw Cen MT" w:hAnsi="Tw Cen MT" w:cs="Calibri"/>
          <w:sz w:val="18"/>
        </w:rPr>
        <w:t xml:space="preserve">(4 patients) </w:t>
      </w:r>
      <w:r>
        <w:rPr>
          <w:rStyle w:val="normaltextrun"/>
          <w:rFonts w:ascii="Tw Cen MT" w:hAnsi="Tw Cen MT" w:cs="Calibri"/>
          <w:sz w:val="18"/>
        </w:rPr>
        <w:t>or they elected not to proceed after review and discussion</w:t>
      </w:r>
      <w:r w:rsidR="00EC3B07">
        <w:rPr>
          <w:rStyle w:val="normaltextrun"/>
          <w:rFonts w:ascii="Tw Cen MT" w:hAnsi="Tw Cen MT" w:cs="Calibri"/>
          <w:sz w:val="18"/>
        </w:rPr>
        <w:t xml:space="preserve"> (8 pts)</w:t>
      </w:r>
      <w:r>
        <w:rPr>
          <w:rStyle w:val="normaltextrun"/>
          <w:rFonts w:ascii="Tw Cen MT" w:hAnsi="Tw Cen MT" w:cs="Calibri"/>
          <w:sz w:val="18"/>
        </w:rPr>
        <w:t>. T</w:t>
      </w:r>
      <w:r w:rsidR="007D7051">
        <w:rPr>
          <w:rStyle w:val="normaltextrun"/>
          <w:rFonts w:ascii="Tw Cen MT" w:hAnsi="Tw Cen MT" w:cs="Calibri"/>
          <w:sz w:val="18"/>
        </w:rPr>
        <w:t>he remain</w:t>
      </w:r>
      <w:r w:rsidR="00543888">
        <w:rPr>
          <w:rStyle w:val="normaltextrun"/>
          <w:rFonts w:ascii="Tw Cen MT" w:hAnsi="Tw Cen MT" w:cs="Calibri"/>
          <w:sz w:val="18"/>
        </w:rPr>
        <w:t>ing</w:t>
      </w:r>
      <w:r w:rsidR="007D7051">
        <w:rPr>
          <w:rStyle w:val="normaltextrun"/>
          <w:rFonts w:ascii="Tw Cen MT" w:hAnsi="Tw Cen MT" w:cs="Calibri"/>
          <w:sz w:val="18"/>
        </w:rPr>
        <w:t xml:space="preserve"> </w:t>
      </w:r>
      <w:r>
        <w:rPr>
          <w:rStyle w:val="normaltextrun"/>
          <w:rFonts w:ascii="Tw Cen MT" w:hAnsi="Tw Cen MT" w:cs="Calibri"/>
          <w:sz w:val="18"/>
        </w:rPr>
        <w:t>2</w:t>
      </w:r>
      <w:r w:rsidR="00EC3B07">
        <w:rPr>
          <w:rStyle w:val="normaltextrun"/>
          <w:rFonts w:ascii="Tw Cen MT" w:hAnsi="Tw Cen MT" w:cs="Calibri"/>
          <w:sz w:val="18"/>
        </w:rPr>
        <w:t>4</w:t>
      </w:r>
      <w:r>
        <w:rPr>
          <w:rStyle w:val="normaltextrun"/>
          <w:rFonts w:ascii="Tw Cen MT" w:hAnsi="Tw Cen MT" w:cs="Calibri"/>
          <w:sz w:val="18"/>
        </w:rPr>
        <w:t xml:space="preserve"> patients </w:t>
      </w:r>
      <w:r w:rsidR="00154898" w:rsidRPr="00154898">
        <w:rPr>
          <w:rStyle w:val="normaltextrun"/>
          <w:rFonts w:ascii="Tw Cen MT" w:hAnsi="Tw Cen MT" w:cs="Calibri"/>
          <w:sz w:val="18"/>
        </w:rPr>
        <w:t xml:space="preserve">were </w:t>
      </w:r>
      <w:r>
        <w:rPr>
          <w:rStyle w:val="normaltextrun"/>
          <w:rFonts w:ascii="Tw Cen MT" w:hAnsi="Tw Cen MT" w:cs="Calibri"/>
          <w:sz w:val="18"/>
        </w:rPr>
        <w:t xml:space="preserve">actively </w:t>
      </w:r>
      <w:r w:rsidR="00EC3B07">
        <w:rPr>
          <w:rStyle w:val="normaltextrun"/>
          <w:rFonts w:ascii="Tw Cen MT" w:hAnsi="Tw Cen MT" w:cs="Calibri"/>
          <w:sz w:val="18"/>
        </w:rPr>
        <w:t xml:space="preserve">involved in a </w:t>
      </w:r>
      <w:r w:rsidR="002F6630">
        <w:rPr>
          <w:rStyle w:val="normaltextrun"/>
          <w:rFonts w:ascii="Tw Cen MT" w:hAnsi="Tw Cen MT" w:cs="Calibri"/>
          <w:sz w:val="18"/>
        </w:rPr>
        <w:t>preoptimization</w:t>
      </w:r>
      <w:r w:rsidR="00EC3B07">
        <w:rPr>
          <w:rStyle w:val="normaltextrun"/>
          <w:rFonts w:ascii="Tw Cen MT" w:hAnsi="Tw Cen MT" w:cs="Calibri"/>
          <w:sz w:val="18"/>
        </w:rPr>
        <w:t xml:space="preserve"> program includ</w:t>
      </w:r>
      <w:r w:rsidR="00C861DF">
        <w:rPr>
          <w:rStyle w:val="normaltextrun"/>
          <w:rFonts w:ascii="Tw Cen MT" w:hAnsi="Tw Cen MT" w:cs="Calibri"/>
          <w:sz w:val="18"/>
        </w:rPr>
        <w:t>ing</w:t>
      </w:r>
      <w:r w:rsidR="00EC3B07">
        <w:rPr>
          <w:rStyle w:val="normaltextrun"/>
          <w:rFonts w:ascii="Tw Cen MT" w:hAnsi="Tw Cen MT" w:cs="Calibri"/>
          <w:sz w:val="18"/>
        </w:rPr>
        <w:t xml:space="preserve"> </w:t>
      </w:r>
      <w:r w:rsidR="00154898" w:rsidRPr="00154898">
        <w:rPr>
          <w:rStyle w:val="normaltextrun"/>
          <w:rFonts w:ascii="Tw Cen MT" w:hAnsi="Tw Cen MT" w:cs="Calibri"/>
          <w:sz w:val="18"/>
        </w:rPr>
        <w:t>medication review, referral to specialist</w:t>
      </w:r>
      <w:r w:rsidR="00543888">
        <w:rPr>
          <w:rStyle w:val="normaltextrun"/>
          <w:rFonts w:ascii="Tw Cen MT" w:hAnsi="Tw Cen MT" w:cs="Calibri"/>
          <w:sz w:val="18"/>
        </w:rPr>
        <w:t xml:space="preserve"> or</w:t>
      </w:r>
      <w:r w:rsidR="00154898" w:rsidRPr="00154898">
        <w:rPr>
          <w:rStyle w:val="normaltextrun"/>
          <w:rFonts w:ascii="Tw Cen MT" w:hAnsi="Tw Cen MT" w:cs="Calibri"/>
          <w:sz w:val="18"/>
        </w:rPr>
        <w:t xml:space="preserve"> lifestyle advice. Out of this group, 50%</w:t>
      </w:r>
      <w:r w:rsidR="00EC3B07">
        <w:rPr>
          <w:rStyle w:val="normaltextrun"/>
          <w:rFonts w:ascii="Tw Cen MT" w:hAnsi="Tw Cen MT" w:cs="Calibri"/>
          <w:sz w:val="18"/>
        </w:rPr>
        <w:t xml:space="preserve"> </w:t>
      </w:r>
      <w:r w:rsidR="00154898" w:rsidRPr="00154898">
        <w:rPr>
          <w:rStyle w:val="normaltextrun"/>
          <w:rFonts w:ascii="Tw Cen MT" w:hAnsi="Tw Cen MT" w:cs="Calibri"/>
          <w:sz w:val="18"/>
        </w:rPr>
        <w:t>(12) did not show </w:t>
      </w:r>
      <w:r w:rsidR="00154898" w:rsidRPr="00154898">
        <w:rPr>
          <w:rStyle w:val="advancedproofingissue"/>
          <w:rFonts w:ascii="Tw Cen MT" w:hAnsi="Tw Cen MT" w:cs="Calibri"/>
          <w:sz w:val="18"/>
        </w:rPr>
        <w:t>sufficient</w:t>
      </w:r>
      <w:r w:rsidR="00154898" w:rsidRPr="00154898">
        <w:rPr>
          <w:rStyle w:val="normaltextrun"/>
          <w:rFonts w:ascii="Tw Cen MT" w:hAnsi="Tw Cen MT" w:cs="Calibri"/>
          <w:sz w:val="18"/>
        </w:rPr>
        <w:t xml:space="preserve"> improvement to outbalance the risk-benefit of surgical vs conservative management. In addition, 16% (8) of the total patient cohort decided not to have the operation after having time to discuss their concerns and the risks in detail </w:t>
      </w:r>
      <w:r w:rsidR="00C666CC">
        <w:rPr>
          <w:rStyle w:val="normaltextrun"/>
          <w:rFonts w:ascii="Tw Cen MT" w:hAnsi="Tw Cen MT" w:cs="Calibri"/>
          <w:sz w:val="18"/>
        </w:rPr>
        <w:t>at PARC.</w:t>
      </w:r>
      <w:r w:rsidR="00EC3B07">
        <w:rPr>
          <w:rStyle w:val="normaltextrun"/>
          <w:rFonts w:ascii="Tw Cen MT" w:hAnsi="Tw Cen MT" w:cs="Calibri"/>
          <w:sz w:val="18"/>
        </w:rPr>
        <w:t xml:space="preserve"> </w:t>
      </w:r>
      <w:r w:rsidR="00C666CC">
        <w:rPr>
          <w:rStyle w:val="normaltextrun"/>
          <w:rFonts w:ascii="Tw Cen MT" w:hAnsi="Tw Cen MT" w:cs="Calibri"/>
          <w:sz w:val="18"/>
        </w:rPr>
        <w:t>T</w:t>
      </w:r>
      <w:r w:rsidR="00EC3B07">
        <w:rPr>
          <w:rStyle w:val="normaltextrun"/>
          <w:rFonts w:ascii="Tw Cen MT" w:hAnsi="Tw Cen MT" w:cs="Calibri"/>
          <w:sz w:val="18"/>
        </w:rPr>
        <w:t>he perioperative mortality was 0</w:t>
      </w:r>
      <w:r w:rsidR="006572E0">
        <w:rPr>
          <w:rStyle w:val="normaltextrun"/>
          <w:rFonts w:ascii="Tw Cen MT" w:hAnsi="Tw Cen MT" w:cs="Calibri"/>
          <w:sz w:val="18"/>
        </w:rPr>
        <w:t>%</w:t>
      </w:r>
    </w:p>
    <w:p w14:paraId="623B49B9" w14:textId="5E1551D5" w:rsidR="00154898" w:rsidRDefault="00154898" w:rsidP="00154898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Tw Cen MT" w:eastAsia="Tw Cen MT" w:hAnsi="Tw Cen MT"/>
          <w:sz w:val="18"/>
        </w:rPr>
      </w:pPr>
      <w:r w:rsidRPr="00154898">
        <w:rPr>
          <w:rStyle w:val="eop"/>
          <w:rFonts w:ascii="Tw Cen MT" w:eastAsia="Tw Cen MT" w:hAnsi="Tw Cen MT"/>
          <w:sz w:val="18"/>
        </w:rPr>
        <w:t> </w:t>
      </w:r>
    </w:p>
    <w:p w14:paraId="72F14EEA" w14:textId="2E6D4E7C" w:rsidR="00475B89" w:rsidRDefault="00475B89" w:rsidP="00154898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Tw Cen MT" w:eastAsia="Tw Cen MT" w:hAnsi="Tw Cen MT"/>
          <w:sz w:val="18"/>
        </w:rPr>
      </w:pPr>
    </w:p>
    <w:p w14:paraId="3268BF0B" w14:textId="77777777" w:rsidR="00475B89" w:rsidRPr="00154898" w:rsidRDefault="00475B89" w:rsidP="00154898">
      <w:pPr>
        <w:pStyle w:val="paragraph"/>
        <w:spacing w:before="0" w:beforeAutospacing="0" w:after="0" w:afterAutospacing="0"/>
        <w:ind w:left="360"/>
        <w:textAlignment w:val="baseline"/>
        <w:rPr>
          <w:rFonts w:ascii="Tw Cen MT" w:hAnsi="Tw Cen MT" w:cs="Segoe UI"/>
          <w:sz w:val="12"/>
          <w:szCs w:val="18"/>
        </w:rPr>
      </w:pPr>
    </w:p>
    <w:p w14:paraId="1788363F" w14:textId="77777777" w:rsidR="00154898" w:rsidRPr="00154898" w:rsidRDefault="00154898" w:rsidP="00154898">
      <w:pPr>
        <w:pStyle w:val="paragraph"/>
        <w:spacing w:before="0" w:beforeAutospacing="0" w:after="0" w:afterAutospacing="0"/>
        <w:ind w:left="360"/>
        <w:textAlignment w:val="baseline"/>
        <w:rPr>
          <w:rFonts w:ascii="Tw Cen MT" w:hAnsi="Tw Cen MT" w:cs="Segoe UI"/>
          <w:sz w:val="12"/>
          <w:szCs w:val="18"/>
        </w:rPr>
      </w:pPr>
      <w:r w:rsidRPr="00154898">
        <w:rPr>
          <w:rStyle w:val="normaltextrun"/>
          <w:rFonts w:ascii="Tw Cen MT" w:hAnsi="Tw Cen MT" w:cs="Calibri"/>
          <w:b/>
          <w:bCs/>
          <w:sz w:val="18"/>
        </w:rPr>
        <w:t>Conclusion</w:t>
      </w:r>
      <w:r w:rsidRPr="00154898">
        <w:rPr>
          <w:rStyle w:val="eop"/>
          <w:rFonts w:ascii="Tw Cen MT" w:eastAsia="Tw Cen MT" w:hAnsi="Tw Cen MT" w:cs="Calibri"/>
          <w:sz w:val="18"/>
        </w:rPr>
        <w:t> </w:t>
      </w:r>
    </w:p>
    <w:p w14:paraId="5F95C1E9" w14:textId="21257E9C" w:rsidR="00154898" w:rsidRPr="00E64144" w:rsidRDefault="00EC3B07" w:rsidP="00E64144">
      <w:pPr>
        <w:pStyle w:val="paragraph"/>
        <w:spacing w:before="0" w:beforeAutospacing="0" w:after="0" w:afterAutospacing="0"/>
        <w:ind w:left="360"/>
        <w:textAlignment w:val="baseline"/>
        <w:rPr>
          <w:rFonts w:ascii="Tw Cen MT" w:hAnsi="Tw Cen MT" w:cs="Calibri"/>
          <w:sz w:val="18"/>
        </w:rPr>
      </w:pPr>
      <w:r>
        <w:rPr>
          <w:rStyle w:val="normaltextrun"/>
          <w:rFonts w:ascii="Tw Cen MT" w:hAnsi="Tw Cen MT" w:cs="Calibri"/>
          <w:sz w:val="18"/>
        </w:rPr>
        <w:t xml:space="preserve">As a result of the </w:t>
      </w:r>
      <w:r w:rsidR="00154898" w:rsidRPr="00154898">
        <w:rPr>
          <w:rStyle w:val="normaltextrun"/>
          <w:rFonts w:ascii="Tw Cen MT" w:hAnsi="Tw Cen MT" w:cs="Calibri"/>
          <w:sz w:val="18"/>
        </w:rPr>
        <w:t xml:space="preserve">PARC </w:t>
      </w:r>
      <w:r>
        <w:rPr>
          <w:rStyle w:val="normaltextrun"/>
          <w:rFonts w:ascii="Tw Cen MT" w:hAnsi="Tw Cen MT" w:cs="Calibri"/>
          <w:sz w:val="18"/>
        </w:rPr>
        <w:t>assessment, surgery was offered to 12 pts (25% of initial cohort) after preoptimization with excellent results</w:t>
      </w:r>
      <w:r w:rsidR="006572E0">
        <w:rPr>
          <w:rStyle w:val="normaltextrun"/>
          <w:rFonts w:ascii="Tw Cen MT" w:hAnsi="Tw Cen MT" w:cs="Calibri"/>
          <w:sz w:val="18"/>
        </w:rPr>
        <w:t xml:space="preserve"> (no mortality, low morbidity)</w:t>
      </w:r>
      <w:r w:rsidR="009735AD">
        <w:rPr>
          <w:rStyle w:val="normaltextrun"/>
          <w:rFonts w:ascii="Tw Cen MT" w:hAnsi="Tw Cen MT" w:cs="Calibri"/>
          <w:sz w:val="18"/>
        </w:rPr>
        <w:t>.</w:t>
      </w:r>
      <w:r w:rsidR="00E64144">
        <w:rPr>
          <w:rStyle w:val="normaltextrun"/>
          <w:rFonts w:ascii="Tw Cen MT" w:hAnsi="Tw Cen MT" w:cs="Calibri"/>
          <w:sz w:val="18"/>
        </w:rPr>
        <w:t xml:space="preserve"> </w:t>
      </w:r>
      <w:r>
        <w:rPr>
          <w:rStyle w:val="normaltextrun"/>
          <w:rFonts w:ascii="Tw Cen MT" w:hAnsi="Tw Cen MT" w:cs="Calibri"/>
          <w:sz w:val="18"/>
        </w:rPr>
        <w:t>The PARC clinics allowed 8 patients to opt not for surgery after a more comprehensive and holistic approach to their health and quality of life.</w:t>
      </w:r>
      <w:r w:rsidR="006572E0">
        <w:rPr>
          <w:rStyle w:val="normaltextrun"/>
          <w:rFonts w:ascii="Tw Cen MT" w:hAnsi="Tw Cen MT" w:cs="Calibri"/>
          <w:sz w:val="18"/>
        </w:rPr>
        <w:t xml:space="preserve"> A good stratification of risk, discussion with patients and preoptimization is key to good results in the elderly </w:t>
      </w:r>
      <w:proofErr w:type="gramStart"/>
      <w:r w:rsidR="006572E0">
        <w:rPr>
          <w:rStyle w:val="normaltextrun"/>
          <w:rFonts w:ascii="Tw Cen MT" w:hAnsi="Tw Cen MT" w:cs="Calibri"/>
          <w:sz w:val="18"/>
        </w:rPr>
        <w:t>high risk</w:t>
      </w:r>
      <w:proofErr w:type="gramEnd"/>
      <w:r w:rsidR="006572E0">
        <w:rPr>
          <w:rStyle w:val="normaltextrun"/>
          <w:rFonts w:ascii="Tw Cen MT" w:hAnsi="Tw Cen MT" w:cs="Calibri"/>
          <w:sz w:val="18"/>
        </w:rPr>
        <w:t xml:space="preserve"> population</w:t>
      </w:r>
      <w:bookmarkStart w:id="0" w:name="_GoBack"/>
      <w:bookmarkEnd w:id="0"/>
    </w:p>
    <w:p w14:paraId="0F3CFC3C" w14:textId="77777777" w:rsidR="00154898" w:rsidRDefault="00154898" w:rsidP="00154898">
      <w:pPr>
        <w:pStyle w:val="paragraph"/>
        <w:spacing w:before="0" w:beforeAutospacing="0" w:after="0" w:afterAutospacing="0"/>
        <w:ind w:left="360"/>
        <w:textAlignment w:val="baseline"/>
      </w:pPr>
      <w:r w:rsidRPr="00154898">
        <w:rPr>
          <w:rStyle w:val="eop"/>
          <w:rFonts w:ascii="Tw Cen MT" w:eastAsia="Tw Cen MT" w:hAnsi="Tw Cen MT"/>
          <w:sz w:val="18"/>
        </w:rPr>
        <w:t> </w:t>
      </w:r>
    </w:p>
    <w:p w14:paraId="31A5558D" w14:textId="77777777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2ECFCE34" w14:textId="77777777" w:rsidR="005973B9" w:rsidRPr="00154898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154898">
        <w:rPr>
          <w:rFonts w:ascii="Arial"/>
          <w:b/>
          <w:sz w:val="20"/>
        </w:rPr>
        <w:t>RECE</w:t>
      </w:r>
      <w:r w:rsidR="004041AC">
        <w:rPr>
          <w:rFonts w:ascii="Arial"/>
          <w:b/>
          <w:sz w:val="20"/>
        </w:rPr>
        <w:t>N</w:t>
      </w:r>
      <w:r w:rsidR="00154898">
        <w:rPr>
          <w:rFonts w:ascii="Arial"/>
          <w:b/>
          <w:sz w:val="20"/>
        </w:rPr>
        <w:t>T PUBLICATIONS</w:t>
      </w:r>
    </w:p>
    <w:p w14:paraId="75265B68" w14:textId="77777777" w:rsidR="00BB0FB5" w:rsidRDefault="00BB0FB5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Bader AM, University H, Sweitzer B (2018) Nuts and bolts of preoperative clinics: The view from three institutions. </w:t>
      </w:r>
      <w:proofErr w:type="spellStart"/>
      <w:r>
        <w:rPr>
          <w:sz w:val="18"/>
        </w:rPr>
        <w:t>Cleaveland</w:t>
      </w:r>
      <w:proofErr w:type="spellEnd"/>
      <w:r>
        <w:rPr>
          <w:sz w:val="18"/>
        </w:rPr>
        <w:t xml:space="preserve"> Clinic Journal of Medicine. 76.</w:t>
      </w:r>
    </w:p>
    <w:p w14:paraId="5B8D9FAA" w14:textId="77777777" w:rsidR="00BB0FB5" w:rsidRDefault="00BB0FB5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Vilches</w:t>
      </w:r>
      <w:proofErr w:type="spellEnd"/>
      <w:r>
        <w:rPr>
          <w:sz w:val="18"/>
        </w:rPr>
        <w:t>-Moraga A, Fox J (2018) Geriatricians and the older emergency general surgical patient: proactive assessment and patient centered investigations. Ageing Clinical and Experimental Research 302:</w:t>
      </w:r>
      <w:r w:rsidR="004041AC">
        <w:rPr>
          <w:sz w:val="18"/>
        </w:rPr>
        <w:t>277-82.</w:t>
      </w:r>
    </w:p>
    <w:p w14:paraId="63331266" w14:textId="77777777" w:rsidR="004041AC" w:rsidRDefault="004041AC" w:rsidP="004041AC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4041AC">
        <w:rPr>
          <w:sz w:val="18"/>
        </w:rPr>
        <w:t xml:space="preserve">Robinson TN, Wu DS, Pointer L, Dunn CL, </w:t>
      </w:r>
      <w:proofErr w:type="spellStart"/>
      <w:r w:rsidRPr="004041AC">
        <w:rPr>
          <w:sz w:val="18"/>
        </w:rPr>
        <w:t>Cleaveland</w:t>
      </w:r>
      <w:proofErr w:type="spellEnd"/>
      <w:r w:rsidRPr="004041AC">
        <w:rPr>
          <w:sz w:val="18"/>
        </w:rPr>
        <w:t xml:space="preserve"> JC, Moss M (2013) Simple frailty score predicts postoperative complications across surgical specialties. American Journal of Surgery 206(4): 544-50.</w:t>
      </w:r>
    </w:p>
    <w:p w14:paraId="3955C47F" w14:textId="77777777" w:rsidR="004041AC" w:rsidRDefault="004041AC" w:rsidP="004041AC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>
        <w:rPr>
          <w:sz w:val="18"/>
        </w:rPr>
        <w:t>Ronning</w:t>
      </w:r>
      <w:proofErr w:type="spellEnd"/>
      <w:r>
        <w:rPr>
          <w:sz w:val="18"/>
        </w:rPr>
        <w:t xml:space="preserve"> B, </w:t>
      </w:r>
      <w:proofErr w:type="spellStart"/>
      <w:r>
        <w:rPr>
          <w:sz w:val="18"/>
        </w:rPr>
        <w:t>Wyller</w:t>
      </w:r>
      <w:proofErr w:type="spellEnd"/>
      <w:r>
        <w:rPr>
          <w:sz w:val="18"/>
        </w:rPr>
        <w:t xml:space="preserve"> TB, </w:t>
      </w:r>
      <w:proofErr w:type="spellStart"/>
      <w:r>
        <w:rPr>
          <w:sz w:val="18"/>
        </w:rPr>
        <w:t>Jordhoy</w:t>
      </w:r>
      <w:proofErr w:type="spellEnd"/>
      <w:r>
        <w:rPr>
          <w:sz w:val="18"/>
        </w:rPr>
        <w:t xml:space="preserve"> MS, </w:t>
      </w:r>
      <w:proofErr w:type="spellStart"/>
      <w:r>
        <w:rPr>
          <w:sz w:val="18"/>
        </w:rPr>
        <w:t>Nesbakken</w:t>
      </w:r>
      <w:proofErr w:type="spellEnd"/>
      <w:r>
        <w:rPr>
          <w:sz w:val="18"/>
        </w:rPr>
        <w:t xml:space="preserve"> A, </w:t>
      </w:r>
      <w:proofErr w:type="spellStart"/>
      <w:r>
        <w:rPr>
          <w:sz w:val="18"/>
        </w:rPr>
        <w:t>Bakka</w:t>
      </w:r>
      <w:proofErr w:type="spellEnd"/>
      <w:r>
        <w:rPr>
          <w:sz w:val="18"/>
        </w:rPr>
        <w:t xml:space="preserve"> A, </w:t>
      </w:r>
      <w:proofErr w:type="spellStart"/>
      <w:r>
        <w:rPr>
          <w:sz w:val="18"/>
        </w:rPr>
        <w:t>Seljeflot</w:t>
      </w:r>
      <w:proofErr w:type="spellEnd"/>
      <w:r>
        <w:rPr>
          <w:sz w:val="18"/>
        </w:rPr>
        <w:t xml:space="preserve"> I (2014) Frailty indicators and functional status in older patients after colorectal cancer surgery. Journal of Geriatric Oncology 5(1): 26-32.</w:t>
      </w:r>
    </w:p>
    <w:p w14:paraId="2A601621" w14:textId="77777777" w:rsidR="00AE3E37" w:rsidRPr="000B4790" w:rsidRDefault="004041AC" w:rsidP="000B4790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  <w:sectPr w:rsidR="00AE3E37" w:rsidRPr="000B479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sz w:val="18"/>
        </w:rPr>
        <w:t xml:space="preserve">Finlayson EV, </w:t>
      </w:r>
      <w:proofErr w:type="spellStart"/>
      <w:r>
        <w:rPr>
          <w:sz w:val="18"/>
        </w:rPr>
        <w:t>Birkmeyer</w:t>
      </w:r>
      <w:proofErr w:type="spellEnd"/>
      <w:r>
        <w:rPr>
          <w:sz w:val="18"/>
        </w:rPr>
        <w:t xml:space="preserve"> JD</w:t>
      </w:r>
      <w:r w:rsidR="000B4790">
        <w:rPr>
          <w:sz w:val="18"/>
        </w:rPr>
        <w:t xml:space="preserve"> (2001)</w:t>
      </w:r>
      <w:r>
        <w:rPr>
          <w:sz w:val="18"/>
        </w:rPr>
        <w:t xml:space="preserve"> Operative mortality with elective surgery in older adults. </w:t>
      </w:r>
      <w:r w:rsidR="000B4790">
        <w:rPr>
          <w:sz w:val="18"/>
        </w:rPr>
        <w:t xml:space="preserve">Effective Clinical Practice. 4(4): 172-7. </w:t>
      </w:r>
      <w:r w:rsidR="008756E6" w:rsidRPr="000B4790">
        <w:t xml:space="preserve"> </w:t>
      </w:r>
    </w:p>
    <w:p w14:paraId="433DA93C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</w:p>
    <w:p w14:paraId="2F9233F2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4B10D870" wp14:editId="604C222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F6366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6DF99E4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</w:p>
    <w:p w14:paraId="1B1F848A" w14:textId="77777777" w:rsidR="00AE3E37" w:rsidRPr="00144575" w:rsidRDefault="0039350F" w:rsidP="004F4AAD">
      <w:pPr>
        <w:spacing w:before="41" w:line="154" w:lineRule="exact"/>
        <w:ind w:left="213" w:right="231"/>
        <w:jc w:val="both"/>
        <w:rPr>
          <w:rFonts w:ascii="Arial"/>
          <w:sz w:val="16"/>
        </w:rPr>
      </w:pPr>
      <w:proofErr w:type="spellStart"/>
      <w:r w:rsidRPr="00144575">
        <w:rPr>
          <w:rFonts w:ascii="Arial"/>
          <w:sz w:val="16"/>
        </w:rPr>
        <w:t>Mr</w:t>
      </w:r>
      <w:proofErr w:type="spellEnd"/>
      <w:r w:rsidR="004F4AAD" w:rsidRPr="00144575">
        <w:rPr>
          <w:rFonts w:ascii="Arial"/>
          <w:sz w:val="16"/>
        </w:rPr>
        <w:t xml:space="preserve"> Gianluca</w:t>
      </w:r>
      <w:r w:rsidRPr="00144575">
        <w:rPr>
          <w:rFonts w:ascii="Arial"/>
          <w:sz w:val="16"/>
        </w:rPr>
        <w:t xml:space="preserve"> Colucci is a </w:t>
      </w:r>
      <w:r w:rsidR="00E57CF6" w:rsidRPr="00144575">
        <w:rPr>
          <w:rFonts w:ascii="Arial"/>
          <w:sz w:val="16"/>
        </w:rPr>
        <w:t xml:space="preserve">consultant general and </w:t>
      </w:r>
      <w:r w:rsidRPr="00144575">
        <w:rPr>
          <w:rFonts w:ascii="Arial"/>
          <w:sz w:val="16"/>
        </w:rPr>
        <w:t xml:space="preserve">colorectal surgeon </w:t>
      </w:r>
      <w:r w:rsidR="004F4AAD" w:rsidRPr="00144575">
        <w:rPr>
          <w:rFonts w:ascii="Arial"/>
          <w:sz w:val="16"/>
        </w:rPr>
        <w:t xml:space="preserve">currently working at </w:t>
      </w:r>
      <w:r w:rsidRPr="00144575">
        <w:rPr>
          <w:rFonts w:ascii="Arial"/>
          <w:sz w:val="16"/>
        </w:rPr>
        <w:t>Worthing district general hospital</w:t>
      </w:r>
      <w:r w:rsidR="004F4AAD" w:rsidRPr="00144575">
        <w:rPr>
          <w:rFonts w:ascii="Arial"/>
          <w:sz w:val="16"/>
        </w:rPr>
        <w:t>,</w:t>
      </w:r>
      <w:r w:rsidRPr="00144575">
        <w:rPr>
          <w:rFonts w:ascii="Arial"/>
          <w:sz w:val="16"/>
        </w:rPr>
        <w:t xml:space="preserve"> in West Sussex. He </w:t>
      </w:r>
      <w:r w:rsidR="00E57CF6" w:rsidRPr="00144575">
        <w:rPr>
          <w:rFonts w:ascii="Arial"/>
          <w:sz w:val="16"/>
        </w:rPr>
        <w:t xml:space="preserve">studied medicine at the University of Verona. </w:t>
      </w:r>
    </w:p>
    <w:p w14:paraId="232C6B44" w14:textId="77777777" w:rsidR="004F4AAD" w:rsidRDefault="004F4AAD" w:rsidP="004F4AAD">
      <w:pPr>
        <w:spacing w:before="41" w:line="154" w:lineRule="exact"/>
        <w:ind w:left="213" w:right="231"/>
        <w:jc w:val="both"/>
        <w:rPr>
          <w:rFonts w:ascii="Arial"/>
          <w:sz w:val="29"/>
        </w:rPr>
      </w:pPr>
    </w:p>
    <w:p w14:paraId="7A1BCDF7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17B97AC3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1A75266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0CB6A0" w14:textId="77777777" w:rsidR="00777977" w:rsidRDefault="00777977">
      <w:r>
        <w:separator/>
      </w:r>
    </w:p>
  </w:endnote>
  <w:endnote w:type="continuationSeparator" w:id="0">
    <w:p w14:paraId="55EF9A62" w14:textId="77777777" w:rsidR="00777977" w:rsidRDefault="00777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F7E1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361DCED" wp14:editId="5C6525B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142055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6293D9D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61DCE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63142055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6293D9D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F65EC53" wp14:editId="7428011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2C6949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0CFDFD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65EC53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362C6949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0CFDFD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DBFDB5A" wp14:editId="044EE47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82C8BE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B5BEE6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BFDB5A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1382C8BE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B5BEE6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F1FB08" w14:textId="77777777" w:rsidR="00777977" w:rsidRDefault="00777977">
      <w:r>
        <w:separator/>
      </w:r>
    </w:p>
  </w:footnote>
  <w:footnote w:type="continuationSeparator" w:id="0">
    <w:p w14:paraId="14EBA4FA" w14:textId="77777777" w:rsidR="00777977" w:rsidRDefault="007779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746EE6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6AFA4D8" wp14:editId="2B53D69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A04C40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AFA4D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61A04C40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A5B92A7" wp14:editId="3615F4E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C95C6F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3EC0B61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5B92A7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7CC95C6F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3EC0B61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B4790"/>
    <w:rsid w:val="000E0258"/>
    <w:rsid w:val="000E2911"/>
    <w:rsid w:val="001263DF"/>
    <w:rsid w:val="00144575"/>
    <w:rsid w:val="00154898"/>
    <w:rsid w:val="001E763C"/>
    <w:rsid w:val="00292ED9"/>
    <w:rsid w:val="002F6630"/>
    <w:rsid w:val="00314AFB"/>
    <w:rsid w:val="00352F38"/>
    <w:rsid w:val="0039350F"/>
    <w:rsid w:val="003B76D9"/>
    <w:rsid w:val="004041AC"/>
    <w:rsid w:val="00404E5B"/>
    <w:rsid w:val="00414F7B"/>
    <w:rsid w:val="004355DC"/>
    <w:rsid w:val="004749B4"/>
    <w:rsid w:val="00475B89"/>
    <w:rsid w:val="00494130"/>
    <w:rsid w:val="004F3523"/>
    <w:rsid w:val="004F4AAD"/>
    <w:rsid w:val="00543888"/>
    <w:rsid w:val="00572828"/>
    <w:rsid w:val="005973B9"/>
    <w:rsid w:val="005B3A56"/>
    <w:rsid w:val="006060CE"/>
    <w:rsid w:val="0063497F"/>
    <w:rsid w:val="006572E0"/>
    <w:rsid w:val="006E221A"/>
    <w:rsid w:val="00777977"/>
    <w:rsid w:val="0078738A"/>
    <w:rsid w:val="007D7051"/>
    <w:rsid w:val="00873DF0"/>
    <w:rsid w:val="008756E6"/>
    <w:rsid w:val="00934E98"/>
    <w:rsid w:val="009735AD"/>
    <w:rsid w:val="009B2D44"/>
    <w:rsid w:val="00A07E82"/>
    <w:rsid w:val="00A106B5"/>
    <w:rsid w:val="00A6645C"/>
    <w:rsid w:val="00A9710C"/>
    <w:rsid w:val="00AE3E37"/>
    <w:rsid w:val="00B21A57"/>
    <w:rsid w:val="00BB0FB5"/>
    <w:rsid w:val="00BF6ADA"/>
    <w:rsid w:val="00C33602"/>
    <w:rsid w:val="00C666CC"/>
    <w:rsid w:val="00C861DF"/>
    <w:rsid w:val="00CD6F55"/>
    <w:rsid w:val="00D62425"/>
    <w:rsid w:val="00DE3104"/>
    <w:rsid w:val="00E409A9"/>
    <w:rsid w:val="00E57CF6"/>
    <w:rsid w:val="00E64144"/>
    <w:rsid w:val="00EC3B07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E2F60DF"/>
  <w15:docId w15:val="{839BC1EC-9EFA-4F4B-8085-763CE6CD6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normaltextrun">
    <w:name w:val="normaltextrun"/>
    <w:basedOn w:val="DefaultParagraphFont"/>
    <w:rsid w:val="00154898"/>
  </w:style>
  <w:style w:type="character" w:customStyle="1" w:styleId="spellingerror">
    <w:name w:val="spellingerror"/>
    <w:basedOn w:val="DefaultParagraphFont"/>
    <w:rsid w:val="00154898"/>
  </w:style>
  <w:style w:type="character" w:customStyle="1" w:styleId="eop">
    <w:name w:val="eop"/>
    <w:basedOn w:val="DefaultParagraphFont"/>
    <w:rsid w:val="00154898"/>
  </w:style>
  <w:style w:type="paragraph" w:customStyle="1" w:styleId="paragraph">
    <w:name w:val="paragraph"/>
    <w:basedOn w:val="Normal"/>
    <w:rsid w:val="0015489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advancedproofingissue">
    <w:name w:val="advancedproofingissue"/>
    <w:basedOn w:val="DefaultParagraphFont"/>
    <w:rsid w:val="00154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8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6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9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Tom Larbey</cp:lastModifiedBy>
  <cp:revision>14</cp:revision>
  <cp:lastPrinted>2019-09-18T15:19:00Z</cp:lastPrinted>
  <dcterms:created xsi:type="dcterms:W3CDTF">2019-09-28T12:45:00Z</dcterms:created>
  <dcterms:modified xsi:type="dcterms:W3CDTF">2019-09-28T12:57:00Z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