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AFD" w:rsidRDefault="00D36AFD" w:rsidP="00D36AFD">
      <w:pPr>
        <w:spacing w:after="0" w:line="240" w:lineRule="auto"/>
        <w:jc w:val="both"/>
        <w:rPr>
          <w:rFonts w:ascii="Palatino Linotype" w:eastAsia="Calibri" w:hAnsi="Palatino Linotype" w:cs="Arial"/>
          <w:sz w:val="24"/>
          <w:szCs w:val="24"/>
          <w:lang w:val="en-US"/>
        </w:rPr>
      </w:pPr>
      <w:r>
        <w:rPr>
          <w:rFonts w:ascii="Palatino Linotype" w:eastAsia="Calibri" w:hAnsi="Palatino Linotype" w:cs="Arial"/>
          <w:b/>
          <w:sz w:val="24"/>
          <w:szCs w:val="24"/>
          <w:lang w:val="en-US"/>
        </w:rPr>
        <w:t>Background</w:t>
      </w:r>
      <w:r>
        <w:rPr>
          <w:rFonts w:ascii="Palatino Linotype" w:eastAsia="Calibri" w:hAnsi="Palatino Linotype" w:cs="Arial"/>
          <w:sz w:val="24"/>
          <w:szCs w:val="24"/>
          <w:lang w:val="en-US"/>
        </w:rPr>
        <w:t>: In this retrospective study, we analyze the role of endovascular repair (EVAR) of abdominal aortic aneurysms (AAA) in patients with concomitant cancer of digestive and urinary system in terms of morbidity and mortality and beneficial outcomes in the management of malignancy.</w:t>
      </w:r>
    </w:p>
    <w:p w:rsidR="00D36AFD" w:rsidRDefault="00D36AFD" w:rsidP="00D36AFD">
      <w:pPr>
        <w:spacing w:after="0" w:line="240" w:lineRule="auto"/>
        <w:jc w:val="both"/>
        <w:rPr>
          <w:rFonts w:ascii="Palatino Linotype" w:eastAsia="Calibri" w:hAnsi="Palatino Linotype" w:cs="Arial"/>
          <w:b/>
          <w:sz w:val="24"/>
          <w:szCs w:val="24"/>
          <w:lang w:val="en-US"/>
        </w:rPr>
      </w:pPr>
    </w:p>
    <w:p w:rsidR="00D36AFD" w:rsidRDefault="00D36AFD" w:rsidP="00D36AFD">
      <w:pPr>
        <w:spacing w:after="0" w:line="240" w:lineRule="auto"/>
        <w:jc w:val="both"/>
        <w:rPr>
          <w:rFonts w:ascii="Palatino Linotype" w:eastAsia="Calibri" w:hAnsi="Palatino Linotype" w:cs="Arial"/>
          <w:sz w:val="24"/>
          <w:szCs w:val="24"/>
          <w:lang w:val="en-US"/>
        </w:rPr>
      </w:pPr>
      <w:r>
        <w:rPr>
          <w:rFonts w:ascii="Palatino Linotype" w:eastAsia="Calibri" w:hAnsi="Palatino Linotype" w:cs="Arial"/>
          <w:b/>
          <w:sz w:val="24"/>
          <w:szCs w:val="24"/>
          <w:lang w:val="en-US"/>
        </w:rPr>
        <w:t>Methods:</w:t>
      </w:r>
      <w:r>
        <w:rPr>
          <w:rFonts w:ascii="Palatino Linotype" w:eastAsia="Calibri" w:hAnsi="Palatino Linotype" w:cs="Arial"/>
          <w:sz w:val="24"/>
          <w:szCs w:val="24"/>
          <w:lang w:val="en-US"/>
        </w:rPr>
        <w:t xml:space="preserve"> Between January 1991 and December 2018, eighty-seven patients with AAA &gt; 4cm and concomitant abdominal cancer with life expectancy &gt;2 years, were treated. Thirty-one cases (group A) were submitted to open AAA repair that was simultaneous</w:t>
      </w:r>
      <w:r>
        <w:rPr>
          <w:rFonts w:ascii="Palatino Linotype" w:eastAsia="Calibri" w:hAnsi="Palatino Linotype" w:cs="Arial"/>
          <w:color w:val="FF0000"/>
          <w:sz w:val="24"/>
          <w:szCs w:val="24"/>
          <w:lang w:val="en-US"/>
        </w:rPr>
        <w:t xml:space="preserve"> </w:t>
      </w:r>
      <w:r>
        <w:rPr>
          <w:rFonts w:ascii="Palatino Linotype" w:eastAsia="Calibri" w:hAnsi="Palatino Linotype" w:cs="Arial"/>
          <w:sz w:val="24"/>
          <w:szCs w:val="24"/>
          <w:lang w:val="en-US"/>
        </w:rPr>
        <w:t xml:space="preserve">with cancer surgery in 23 (10 renal cancer, 10 prostatic, 1 gastric, 1 bladder and 1 liver) while in the remaining 8 cases colon cancer resection followed the AAA surgery. In group B (56 </w:t>
      </w:r>
      <w:proofErr w:type="spellStart"/>
      <w:r>
        <w:rPr>
          <w:rFonts w:ascii="Palatino Linotype" w:eastAsia="Calibri" w:hAnsi="Palatino Linotype" w:cs="Arial"/>
          <w:sz w:val="24"/>
          <w:szCs w:val="24"/>
          <w:lang w:val="en-US"/>
        </w:rPr>
        <w:t>pts</w:t>
      </w:r>
      <w:proofErr w:type="spellEnd"/>
      <w:r>
        <w:rPr>
          <w:rFonts w:ascii="Palatino Linotype" w:eastAsia="Calibri" w:hAnsi="Palatino Linotype" w:cs="Arial"/>
          <w:sz w:val="24"/>
          <w:szCs w:val="24"/>
          <w:lang w:val="en-US"/>
        </w:rPr>
        <w:t xml:space="preserve">) EVAR was always performed before the surgical and/or pharmacological therapy of malignancy (19 colon cancer, 15 bladder, 13 prostate, 4 gastric, 2 kidney, 2 liver and 1 lymphoma). </w:t>
      </w:r>
    </w:p>
    <w:p w:rsidR="00D36AFD" w:rsidRDefault="00D36AFD" w:rsidP="00D36AFD">
      <w:pPr>
        <w:spacing w:after="0" w:line="240" w:lineRule="auto"/>
        <w:jc w:val="both"/>
        <w:rPr>
          <w:rFonts w:ascii="Palatino Linotype" w:eastAsia="Calibri" w:hAnsi="Palatino Linotype" w:cs="Arial"/>
          <w:sz w:val="24"/>
          <w:szCs w:val="24"/>
          <w:lang w:val="en-US"/>
        </w:rPr>
      </w:pPr>
    </w:p>
    <w:p w:rsidR="00D36AFD" w:rsidRDefault="00D36AFD" w:rsidP="00D36AFD">
      <w:pPr>
        <w:spacing w:after="0" w:line="240" w:lineRule="auto"/>
        <w:jc w:val="both"/>
        <w:rPr>
          <w:rFonts w:ascii="Palatino Linotype" w:eastAsia="Calibri" w:hAnsi="Palatino Linotype" w:cs="Arial"/>
          <w:sz w:val="24"/>
          <w:szCs w:val="24"/>
          <w:lang w:val="en-US"/>
        </w:rPr>
      </w:pPr>
      <w:r>
        <w:rPr>
          <w:rFonts w:ascii="Palatino Linotype" w:eastAsia="Calibri" w:hAnsi="Palatino Linotype" w:cs="Arial"/>
          <w:b/>
          <w:sz w:val="24"/>
          <w:szCs w:val="24"/>
          <w:lang w:val="en-US"/>
        </w:rPr>
        <w:t>Results</w:t>
      </w:r>
      <w:r>
        <w:rPr>
          <w:rFonts w:ascii="Palatino Linotype" w:eastAsia="Calibri" w:hAnsi="Palatino Linotype" w:cs="Arial"/>
          <w:sz w:val="24"/>
          <w:szCs w:val="24"/>
          <w:lang w:val="en-US"/>
        </w:rPr>
        <w:t xml:space="preserve">: the postoperative mortality rate was 13.3% in group A (3 myocardial infarction (MI) and 1 multi-organ failure) while it was nil in group B. The 30-days postoperative morbidity rate was 10% in group A (2 MI and 1 pulmonary complication) and 1.8% in group B (1 MI). No bowel ischemia occurred in the 20 </w:t>
      </w:r>
      <w:proofErr w:type="spellStart"/>
      <w:r>
        <w:rPr>
          <w:rFonts w:ascii="Palatino Linotype" w:eastAsia="Calibri" w:hAnsi="Palatino Linotype" w:cs="Arial"/>
          <w:sz w:val="24"/>
          <w:szCs w:val="24"/>
          <w:lang w:val="en-US"/>
        </w:rPr>
        <w:t>pts</w:t>
      </w:r>
      <w:proofErr w:type="spellEnd"/>
      <w:r>
        <w:rPr>
          <w:rFonts w:ascii="Palatino Linotype" w:eastAsia="Calibri" w:hAnsi="Palatino Linotype" w:cs="Arial"/>
          <w:sz w:val="24"/>
          <w:szCs w:val="24"/>
          <w:lang w:val="en-US"/>
        </w:rPr>
        <w:t xml:space="preserve"> submitted to colorectal resection after EVAR. The time delays between EVAR and cancer treatment in groups A and B were 63 and 15 days, respectively (p&lt;0.0001). No graft infection was observed in both groups. Long term morbidity and mortality was similar in group A and B.</w:t>
      </w:r>
    </w:p>
    <w:p w:rsidR="00D36AFD" w:rsidRDefault="00D36AFD" w:rsidP="00D36AFD">
      <w:pPr>
        <w:spacing w:after="0" w:line="240" w:lineRule="auto"/>
        <w:jc w:val="both"/>
        <w:rPr>
          <w:rFonts w:ascii="Palatino Linotype" w:eastAsia="Calibri" w:hAnsi="Palatino Linotype" w:cs="Arial"/>
          <w:b/>
          <w:sz w:val="24"/>
          <w:szCs w:val="24"/>
          <w:lang w:val="en-US"/>
        </w:rPr>
      </w:pPr>
    </w:p>
    <w:p w:rsidR="00D36AFD" w:rsidRDefault="00D36AFD" w:rsidP="00D36AFD">
      <w:pPr>
        <w:spacing w:after="0" w:line="240" w:lineRule="auto"/>
        <w:jc w:val="both"/>
        <w:rPr>
          <w:rFonts w:ascii="Palatino Linotype" w:eastAsia="Calibri" w:hAnsi="Palatino Linotype" w:cs="Arial"/>
          <w:sz w:val="24"/>
          <w:szCs w:val="24"/>
          <w:lang w:val="en-US"/>
        </w:rPr>
      </w:pPr>
      <w:r>
        <w:rPr>
          <w:rFonts w:ascii="Palatino Linotype" w:eastAsia="Calibri" w:hAnsi="Palatino Linotype" w:cs="Arial"/>
          <w:b/>
          <w:sz w:val="24"/>
          <w:szCs w:val="24"/>
          <w:lang w:val="en-US"/>
        </w:rPr>
        <w:t>Conclusions:</w:t>
      </w:r>
      <w:r>
        <w:rPr>
          <w:rFonts w:ascii="Palatino Linotype" w:eastAsia="Calibri" w:hAnsi="Palatino Linotype" w:cs="Arial"/>
          <w:sz w:val="24"/>
          <w:szCs w:val="24"/>
          <w:lang w:val="en-US"/>
        </w:rPr>
        <w:t xml:space="preserve">  the analysis of the results obtained in this retrospective study suggests EVAR, when feasible, may be considered the choice treatment in patients with AAA and concomitant abdominal cancer due to its lower perioperative mortality and morbidity when compared with open surgery. This alternative approach allows to expand treatment indications also for small AAA, in relation to the objective observation that laparotomy and chemotherapy improve the AAA rupture incidence; in our experience, 14 patients of group B had an AAA diameters ranging from 4 to 4.5 cm. Furthermore this less invasive approach reduces significantly the waiting time for following cancer management. It must be underlined that, when colon-rectal resection is needed, the perfusion of at least one hypogastric artery during EVAR is mandatory to avoid sigmoid ischemia. It is well known that abdominal surgery implies an increased risk of aortic graft infection; our feeling that EVAR could minimize the risk of this complication in comparison to conventional surgical approach either combined or sequential, is high.</w:t>
      </w:r>
    </w:p>
    <w:p w:rsidR="00D36AFD" w:rsidRDefault="00D36AFD" w:rsidP="00D36AFD">
      <w:pPr>
        <w:spacing w:line="240" w:lineRule="auto"/>
        <w:rPr>
          <w:rFonts w:ascii="Palatino Linotype" w:hAnsi="Palatino Linotype" w:cs="Arial"/>
          <w:sz w:val="24"/>
          <w:szCs w:val="24"/>
          <w:lang w:val="en-US"/>
        </w:rPr>
      </w:pPr>
    </w:p>
    <w:p w:rsidR="00D36AFD" w:rsidRDefault="00D36AFD" w:rsidP="00D36AFD">
      <w:pPr>
        <w:spacing w:line="240" w:lineRule="auto"/>
        <w:rPr>
          <w:rFonts w:ascii="Palatino Linotype" w:eastAsiaTheme="majorEastAsia" w:hAnsi="Palatino Linotype" w:cs="Arial"/>
          <w:bCs/>
          <w:iCs/>
          <w:sz w:val="24"/>
          <w:szCs w:val="24"/>
          <w:lang w:val="en-US"/>
        </w:rPr>
      </w:pPr>
      <w:r>
        <w:rPr>
          <w:rFonts w:ascii="Palatino Linotype" w:eastAsiaTheme="majorEastAsia" w:hAnsi="Palatino Linotype" w:cs="Arial"/>
          <w:bCs/>
          <w:iCs/>
          <w:sz w:val="24"/>
          <w:szCs w:val="24"/>
          <w:lang w:val="en-US"/>
        </w:rPr>
        <w:t>Key Wards: Abdominal aortic aneurysm – Endografts - Endoleaks</w:t>
      </w:r>
    </w:p>
    <w:p w:rsidR="00BD65B0" w:rsidRPr="00D36AFD" w:rsidRDefault="00BD65B0">
      <w:pPr>
        <w:rPr>
          <w:lang w:val="en-US"/>
        </w:rPr>
      </w:pPr>
      <w:bookmarkStart w:id="0" w:name="_GoBack"/>
      <w:bookmarkEnd w:id="0"/>
    </w:p>
    <w:sectPr w:rsidR="00BD65B0" w:rsidRPr="00D36AF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AFD"/>
    <w:rsid w:val="00BD65B0"/>
    <w:rsid w:val="00D36A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36AF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36AF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11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397</Words>
  <Characters>2265</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Gattuso</dc:creator>
  <cp:lastModifiedBy>Roberto Gattuso</cp:lastModifiedBy>
  <cp:revision>1</cp:revision>
  <dcterms:created xsi:type="dcterms:W3CDTF">2019-09-25T12:26:00Z</dcterms:created>
  <dcterms:modified xsi:type="dcterms:W3CDTF">2019-09-25T12:28:00Z</dcterms:modified>
</cp:coreProperties>
</file>