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CF9A9" w14:textId="77777777" w:rsidR="00CF3785" w:rsidRDefault="009D4DF2" w:rsidP="00421E35">
      <w:pPr>
        <w:pStyle w:val="Heading1"/>
        <w:spacing w:before="170"/>
        <w:ind w:left="0"/>
        <w:jc w:val="both"/>
        <w:rPr>
          <w:rFonts w:asciiTheme="minorHAnsi" w:hAnsiTheme="minorHAnsi" w:cstheme="minorHAnsi"/>
          <w:color w:val="337AB7"/>
          <w:sz w:val="28"/>
          <w:szCs w:val="28"/>
        </w:rPr>
      </w:pPr>
      <w:r w:rsidRPr="00B16A59">
        <w:rPr>
          <w:rFonts w:asciiTheme="minorHAnsi" w:hAnsiTheme="minorHAnsi" w:cstheme="minorHAnsi"/>
          <w:color w:val="337AB7"/>
          <w:sz w:val="28"/>
          <w:szCs w:val="28"/>
        </w:rPr>
        <w:t>Title</w:t>
      </w:r>
      <w:r w:rsidRPr="00B16A59">
        <w:rPr>
          <w:rFonts w:asciiTheme="minorHAnsi" w:hAnsiTheme="minorHAnsi" w:cstheme="minorHAnsi"/>
          <w:color w:val="337AB7"/>
        </w:rPr>
        <w:t xml:space="preserve">: </w:t>
      </w:r>
      <w:r w:rsidRPr="00284A65">
        <w:rPr>
          <w:rFonts w:asciiTheme="minorHAnsi" w:hAnsiTheme="minorHAnsi" w:cstheme="minorHAnsi"/>
          <w:color w:val="337AB7"/>
          <w:sz w:val="28"/>
          <w:szCs w:val="28"/>
        </w:rPr>
        <w:t xml:space="preserve">COMPARISON OF ULTRASOUND-GUIDED PENG BLOCK WITH FEMORAL NERVE BLOCK FOR </w:t>
      </w:r>
      <w:r w:rsidR="001F0851" w:rsidRPr="00284A65">
        <w:rPr>
          <w:rFonts w:asciiTheme="minorHAnsi" w:hAnsiTheme="minorHAnsi" w:cstheme="minorHAnsi"/>
          <w:color w:val="337AB7"/>
          <w:sz w:val="28"/>
          <w:szCs w:val="28"/>
        </w:rPr>
        <w:t>POSITIONING</w:t>
      </w:r>
      <w:r w:rsidR="00CF3785" w:rsidRPr="00284A65">
        <w:rPr>
          <w:rFonts w:asciiTheme="minorHAnsi" w:hAnsiTheme="minorHAnsi" w:cstheme="minorHAnsi"/>
          <w:color w:val="337AB7"/>
          <w:sz w:val="28"/>
          <w:szCs w:val="28"/>
        </w:rPr>
        <w:t xml:space="preserve"> BEFORE SPINAL ANESTHESIA AND POSTOPERATIVE ANALGESIA </w:t>
      </w:r>
      <w:r w:rsidR="001F0851" w:rsidRPr="00284A65">
        <w:rPr>
          <w:rFonts w:asciiTheme="minorHAnsi" w:hAnsiTheme="minorHAnsi" w:cstheme="minorHAnsi"/>
          <w:color w:val="337AB7"/>
          <w:sz w:val="28"/>
          <w:szCs w:val="28"/>
        </w:rPr>
        <w:t>OF PROXIMAL FRACTURE</w:t>
      </w:r>
      <w:r w:rsidRPr="00284A65">
        <w:rPr>
          <w:rFonts w:asciiTheme="minorHAnsi" w:hAnsiTheme="minorHAnsi" w:cstheme="minorHAnsi"/>
          <w:color w:val="337AB7"/>
          <w:sz w:val="28"/>
          <w:szCs w:val="28"/>
        </w:rPr>
        <w:t xml:space="preserve"> FEMUR PATIENTS </w:t>
      </w:r>
    </w:p>
    <w:p w14:paraId="471AEBF4" w14:textId="26FAC0F7" w:rsidR="002D6FD3" w:rsidRPr="00B05688" w:rsidRDefault="002D6FD3" w:rsidP="00421E35">
      <w:pPr>
        <w:pStyle w:val="Heading1"/>
        <w:spacing w:before="170"/>
        <w:ind w:left="0"/>
        <w:jc w:val="both"/>
        <w:rPr>
          <w:rFonts w:asciiTheme="minorHAnsi" w:hAnsiTheme="minorHAnsi" w:cstheme="minorHAnsi"/>
          <w:b w:val="0"/>
          <w:bCs w:val="0"/>
          <w:color w:val="000000" w:themeColor="text1"/>
          <w:sz w:val="24"/>
          <w:szCs w:val="24"/>
        </w:rPr>
      </w:pPr>
      <w:r w:rsidRPr="009B0973">
        <w:rPr>
          <w:rFonts w:asciiTheme="minorHAnsi" w:hAnsiTheme="minorHAnsi" w:cstheme="minorHAnsi"/>
          <w:b w:val="0"/>
          <w:bCs w:val="0"/>
          <w:color w:val="000000" w:themeColor="text1"/>
          <w:sz w:val="24"/>
          <w:szCs w:val="24"/>
        </w:rPr>
        <w:t>Affiliation</w:t>
      </w:r>
      <w:r>
        <w:rPr>
          <w:rFonts w:asciiTheme="minorHAnsi" w:hAnsiTheme="minorHAnsi" w:cstheme="minorHAnsi"/>
          <w:b w:val="0"/>
          <w:bCs w:val="0"/>
          <w:color w:val="000000" w:themeColor="text1"/>
          <w:sz w:val="28"/>
          <w:szCs w:val="28"/>
        </w:rPr>
        <w:t xml:space="preserve">: </w:t>
      </w:r>
      <w:r w:rsidR="00EB3C2E" w:rsidRPr="00B05688">
        <w:rPr>
          <w:rFonts w:asciiTheme="minorHAnsi" w:hAnsiTheme="minorHAnsi" w:cstheme="minorHAnsi"/>
          <w:b w:val="0"/>
          <w:bCs w:val="0"/>
          <w:color w:val="000000" w:themeColor="text1"/>
          <w:sz w:val="24"/>
          <w:szCs w:val="24"/>
        </w:rPr>
        <w:t>Dr</w:t>
      </w:r>
      <w:r w:rsidR="00B05688" w:rsidRPr="00B05688">
        <w:rPr>
          <w:rFonts w:asciiTheme="minorHAnsi" w:hAnsiTheme="minorHAnsi" w:cstheme="minorHAnsi"/>
          <w:b w:val="0"/>
          <w:bCs w:val="0"/>
          <w:color w:val="000000" w:themeColor="text1"/>
          <w:sz w:val="24"/>
          <w:szCs w:val="24"/>
        </w:rPr>
        <w:t xml:space="preserve"> Sarmistha </w:t>
      </w:r>
      <w:proofErr w:type="spellStart"/>
      <w:r w:rsidR="00B05688" w:rsidRPr="00B05688">
        <w:rPr>
          <w:rFonts w:asciiTheme="minorHAnsi" w:hAnsiTheme="minorHAnsi" w:cstheme="minorHAnsi"/>
          <w:b w:val="0"/>
          <w:bCs w:val="0"/>
          <w:color w:val="000000" w:themeColor="text1"/>
          <w:sz w:val="24"/>
          <w:szCs w:val="24"/>
        </w:rPr>
        <w:t>Panigrahi</w:t>
      </w:r>
      <w:proofErr w:type="spellEnd"/>
      <w:r w:rsidR="006C5F29">
        <w:rPr>
          <w:rFonts w:asciiTheme="minorHAnsi" w:hAnsiTheme="minorHAnsi" w:cstheme="minorHAnsi"/>
          <w:b w:val="0"/>
          <w:bCs w:val="0"/>
          <w:color w:val="000000" w:themeColor="text1"/>
          <w:sz w:val="24"/>
          <w:szCs w:val="24"/>
        </w:rPr>
        <w:t>, MBBS, DNB Anes</w:t>
      </w:r>
      <w:r w:rsidR="00247037">
        <w:rPr>
          <w:rFonts w:asciiTheme="minorHAnsi" w:hAnsiTheme="minorHAnsi" w:cstheme="minorHAnsi"/>
          <w:b w:val="0"/>
          <w:bCs w:val="0"/>
          <w:color w:val="000000" w:themeColor="text1"/>
          <w:sz w:val="24"/>
          <w:szCs w:val="24"/>
        </w:rPr>
        <w:t xml:space="preserve">thesiology, FIPM </w:t>
      </w:r>
      <w:proofErr w:type="spellStart"/>
      <w:r w:rsidR="00247037">
        <w:rPr>
          <w:rFonts w:asciiTheme="minorHAnsi" w:hAnsiTheme="minorHAnsi" w:cstheme="minorHAnsi"/>
          <w:b w:val="0"/>
          <w:bCs w:val="0"/>
          <w:color w:val="000000" w:themeColor="text1"/>
          <w:sz w:val="24"/>
          <w:szCs w:val="24"/>
        </w:rPr>
        <w:t>Daradia</w:t>
      </w:r>
      <w:proofErr w:type="spellEnd"/>
      <w:r w:rsidR="00247037">
        <w:rPr>
          <w:rFonts w:asciiTheme="minorHAnsi" w:hAnsiTheme="minorHAnsi" w:cstheme="minorHAnsi"/>
          <w:b w:val="0"/>
          <w:bCs w:val="0"/>
          <w:color w:val="000000" w:themeColor="text1"/>
          <w:sz w:val="24"/>
          <w:szCs w:val="24"/>
        </w:rPr>
        <w:t xml:space="preserve">, </w:t>
      </w:r>
      <w:r w:rsidR="00AD5B5E">
        <w:rPr>
          <w:rFonts w:asciiTheme="minorHAnsi" w:hAnsiTheme="minorHAnsi" w:cstheme="minorHAnsi"/>
          <w:b w:val="0"/>
          <w:bCs w:val="0"/>
          <w:color w:val="000000" w:themeColor="text1"/>
          <w:sz w:val="24"/>
          <w:szCs w:val="24"/>
        </w:rPr>
        <w:t>(EDAIC)</w:t>
      </w:r>
    </w:p>
    <w:p w14:paraId="327CF9AA" w14:textId="77777777" w:rsidR="009D4DF2" w:rsidRPr="00DE086D" w:rsidRDefault="009D4DF2" w:rsidP="00421E35">
      <w:pPr>
        <w:pStyle w:val="Heading1"/>
        <w:spacing w:before="170"/>
        <w:ind w:left="0"/>
        <w:jc w:val="both"/>
        <w:rPr>
          <w:rFonts w:asciiTheme="minorHAnsi" w:hAnsiTheme="minorHAnsi" w:cstheme="minorHAnsi"/>
          <w:color w:val="337AB7"/>
          <w:sz w:val="28"/>
          <w:szCs w:val="28"/>
        </w:rPr>
      </w:pPr>
      <w:r w:rsidRPr="00DE086D">
        <w:rPr>
          <w:rFonts w:asciiTheme="minorHAnsi" w:hAnsiTheme="minorHAnsi" w:cstheme="minorHAnsi"/>
          <w:color w:val="BF5A14"/>
          <w:sz w:val="28"/>
          <w:szCs w:val="28"/>
        </w:rPr>
        <w:t>Abstract</w:t>
      </w:r>
    </w:p>
    <w:p w14:paraId="32CD2D24" w14:textId="0C1D1A35" w:rsidR="00DE086D" w:rsidRDefault="009D4DF2" w:rsidP="00421E35">
      <w:pPr>
        <w:autoSpaceDE w:val="0"/>
        <w:autoSpaceDN w:val="0"/>
        <w:adjustRightInd w:val="0"/>
        <w:spacing w:after="0" w:line="240" w:lineRule="auto"/>
        <w:jc w:val="both"/>
        <w:rPr>
          <w:rFonts w:cstheme="minorHAnsi"/>
        </w:rPr>
      </w:pPr>
      <w:r w:rsidRPr="00B16A59">
        <w:rPr>
          <w:rFonts w:cstheme="minorHAnsi"/>
          <w:b/>
          <w:bCs/>
          <w:sz w:val="24"/>
          <w:szCs w:val="24"/>
        </w:rPr>
        <w:t>Statement of the Problem</w:t>
      </w:r>
      <w:r w:rsidRPr="00B16A59">
        <w:rPr>
          <w:rFonts w:cstheme="minorHAnsi"/>
          <w:sz w:val="24"/>
          <w:szCs w:val="24"/>
        </w:rPr>
        <w:t>:</w:t>
      </w:r>
      <w:r w:rsidR="001F0851" w:rsidRPr="00B16A59">
        <w:rPr>
          <w:rFonts w:cstheme="minorHAnsi"/>
          <w:sz w:val="24"/>
          <w:szCs w:val="24"/>
        </w:rPr>
        <w:t xml:space="preserve"> Fracture femur is a very painful condition and this is further </w:t>
      </w:r>
      <w:r w:rsidR="00726308">
        <w:rPr>
          <w:rFonts w:cstheme="minorHAnsi"/>
          <w:sz w:val="24"/>
          <w:szCs w:val="24"/>
        </w:rPr>
        <w:t>aggravated</w:t>
      </w:r>
      <w:r w:rsidR="001F0851" w:rsidRPr="00B16A59">
        <w:rPr>
          <w:rFonts w:cstheme="minorHAnsi"/>
          <w:sz w:val="24"/>
          <w:szCs w:val="24"/>
        </w:rPr>
        <w:t xml:space="preserve"> by movements. </w:t>
      </w:r>
      <w:r w:rsidR="00FE2D84" w:rsidRPr="00B16A59">
        <w:rPr>
          <w:rFonts w:cstheme="minorHAnsi"/>
          <w:sz w:val="24"/>
          <w:szCs w:val="24"/>
        </w:rPr>
        <w:t>The purpose of this study is to explain how p</w:t>
      </w:r>
      <w:r w:rsidR="001F0851" w:rsidRPr="00B16A59">
        <w:rPr>
          <w:rFonts w:cstheme="minorHAnsi"/>
          <w:sz w:val="24"/>
          <w:szCs w:val="24"/>
        </w:rPr>
        <w:t>eripheral nerve blocks in lower extremities are increasingly being recommended for the control of pain in patients with fracture femur</w:t>
      </w:r>
      <w:r w:rsidR="009B6219" w:rsidRPr="00B16A59">
        <w:rPr>
          <w:rFonts w:cstheme="minorHAnsi"/>
          <w:sz w:val="24"/>
          <w:szCs w:val="24"/>
        </w:rPr>
        <w:t xml:space="preserve"> as it reduces pain, time to first rescue analgesia, need for systemic analgesics, and incidence of delirium and shortens the duration of hospital stay.</w:t>
      </w:r>
      <w:r w:rsidR="00486894" w:rsidRPr="00B16A59">
        <w:rPr>
          <w:rFonts w:cstheme="minorHAnsi"/>
          <w:b/>
          <w:bCs/>
        </w:rPr>
        <w:t xml:space="preserve"> </w:t>
      </w:r>
      <w:r w:rsidR="00486894" w:rsidRPr="00B16A59">
        <w:rPr>
          <w:rFonts w:cstheme="minorHAnsi"/>
          <w:b/>
          <w:bCs/>
          <w:sz w:val="24"/>
          <w:szCs w:val="24"/>
        </w:rPr>
        <w:t>Methodology &amp; Theoretical Orientation:</w:t>
      </w:r>
      <w:r w:rsidR="0009200B" w:rsidRPr="00B16A59">
        <w:rPr>
          <w:rFonts w:cstheme="minorHAnsi"/>
          <w:b/>
          <w:bCs/>
        </w:rPr>
        <w:t xml:space="preserve"> </w:t>
      </w:r>
      <w:r w:rsidR="0009200B" w:rsidRPr="00B16A59">
        <w:rPr>
          <w:rFonts w:cstheme="minorHAnsi"/>
          <w:color w:val="000000"/>
          <w:sz w:val="24"/>
          <w:szCs w:val="24"/>
        </w:rPr>
        <w:t xml:space="preserve">A prospective, randomized double-blinded controlled study was conducted with </w:t>
      </w:r>
      <w:r w:rsidR="0009200B" w:rsidRPr="00B16A59">
        <w:rPr>
          <w:rFonts w:cstheme="minorHAnsi"/>
        </w:rPr>
        <w:t xml:space="preserve">60 patients admitted to Apollo Hospital, Kakinada, </w:t>
      </w:r>
      <w:r w:rsidR="0009200B" w:rsidRPr="00B16A59">
        <w:rPr>
          <w:rFonts w:cstheme="minorHAnsi"/>
          <w:color w:val="000000"/>
          <w:sz w:val="24"/>
          <w:szCs w:val="24"/>
        </w:rPr>
        <w:t>bet</w:t>
      </w:r>
      <w:r w:rsidR="0009200B" w:rsidRPr="00B16A59">
        <w:rPr>
          <w:rFonts w:cstheme="minorHAnsi"/>
        </w:rPr>
        <w:t>ween the period of February 2021 and September 2022</w:t>
      </w:r>
      <w:r w:rsidR="0009200B" w:rsidRPr="00B16A59">
        <w:rPr>
          <w:rFonts w:cstheme="minorHAnsi"/>
          <w:color w:val="000000"/>
          <w:sz w:val="24"/>
          <w:szCs w:val="24"/>
        </w:rPr>
        <w:t>, after satisfying the inclusion and exclusion criteria, aged between 18 and 80 years undergoing elective surgery for fracture femur were included in the study.</w:t>
      </w:r>
      <w:r w:rsidR="00707ABD" w:rsidRPr="00B16A59">
        <w:rPr>
          <w:rFonts w:cstheme="minorHAnsi"/>
        </w:rPr>
        <w:t xml:space="preserve"> </w:t>
      </w:r>
    </w:p>
    <w:p w14:paraId="12CF4CA8" w14:textId="77777777" w:rsidR="00DE086D" w:rsidRDefault="00707ABD" w:rsidP="00421E35">
      <w:pPr>
        <w:autoSpaceDE w:val="0"/>
        <w:autoSpaceDN w:val="0"/>
        <w:adjustRightInd w:val="0"/>
        <w:spacing w:after="0" w:line="240" w:lineRule="auto"/>
        <w:jc w:val="both"/>
        <w:rPr>
          <w:rFonts w:cstheme="minorHAnsi"/>
          <w:sz w:val="24"/>
          <w:szCs w:val="24"/>
        </w:rPr>
      </w:pPr>
      <w:r w:rsidRPr="00B16A59">
        <w:rPr>
          <w:rFonts w:cstheme="minorHAnsi"/>
          <w:b/>
          <w:bCs/>
          <w:sz w:val="24"/>
          <w:szCs w:val="24"/>
        </w:rPr>
        <w:t>Findings:</w:t>
      </w:r>
      <w:r w:rsidR="004B5B31" w:rsidRPr="00B16A59">
        <w:rPr>
          <w:rFonts w:cstheme="minorHAnsi"/>
          <w:sz w:val="19"/>
          <w:szCs w:val="19"/>
        </w:rPr>
        <w:t xml:space="preserve"> </w:t>
      </w:r>
      <w:r w:rsidR="004B5B31" w:rsidRPr="00B16A59">
        <w:rPr>
          <w:rFonts w:cstheme="minorHAnsi"/>
          <w:sz w:val="24"/>
          <w:szCs w:val="24"/>
        </w:rPr>
        <w:t>Baseline demographics were similar. Postoperatively in recovery (day 0), the PENG group experienced less pain compared with the FNB group. (In the PENG group, 63% experienced no pain,27% mild pain, and 10% moderate to severe pain. In comparison, 30% of the FNB group reported no pain, 27% mild pain, and 36% moderate to severe pain;</w:t>
      </w:r>
      <w:r w:rsidR="00421E35" w:rsidRPr="00B16A59">
        <w:rPr>
          <w:rFonts w:cstheme="minorHAnsi"/>
          <w:sz w:val="24"/>
          <w:szCs w:val="24"/>
        </w:rPr>
        <w:t xml:space="preserve"> </w:t>
      </w:r>
      <w:r w:rsidR="004B5B31" w:rsidRPr="00B16A59">
        <w:rPr>
          <w:rFonts w:cstheme="minorHAnsi"/>
          <w:sz w:val="24"/>
          <w:szCs w:val="24"/>
        </w:rPr>
        <w:t xml:space="preserve">p=0.04). </w:t>
      </w:r>
    </w:p>
    <w:p w14:paraId="327CF9AB" w14:textId="1620B8B1" w:rsidR="009D4DF2" w:rsidRPr="00B16A59" w:rsidRDefault="00C3059E" w:rsidP="00421E35">
      <w:pPr>
        <w:autoSpaceDE w:val="0"/>
        <w:autoSpaceDN w:val="0"/>
        <w:adjustRightInd w:val="0"/>
        <w:spacing w:after="0" w:line="240" w:lineRule="auto"/>
        <w:jc w:val="both"/>
        <w:rPr>
          <w:rFonts w:cstheme="minorHAnsi"/>
          <w:sz w:val="24"/>
          <w:szCs w:val="24"/>
        </w:rPr>
      </w:pPr>
      <w:r w:rsidRPr="00B16A59">
        <w:rPr>
          <w:rFonts w:cstheme="minorHAnsi"/>
          <w:b/>
          <w:bCs/>
          <w:sz w:val="24"/>
          <w:szCs w:val="24"/>
        </w:rPr>
        <w:t>Conclusion &amp; Significance</w:t>
      </w:r>
      <w:r w:rsidRPr="00B16A59">
        <w:rPr>
          <w:rFonts w:cstheme="minorHAnsi"/>
          <w:b/>
          <w:bCs/>
        </w:rPr>
        <w:t>:</w:t>
      </w:r>
      <w:r w:rsidR="00421E35" w:rsidRPr="00B16A59">
        <w:rPr>
          <w:rFonts w:cstheme="minorHAnsi"/>
          <w:sz w:val="19"/>
          <w:szCs w:val="19"/>
        </w:rPr>
        <w:t xml:space="preserve"> </w:t>
      </w:r>
      <w:r w:rsidR="00421E35" w:rsidRPr="00B16A59">
        <w:rPr>
          <w:rFonts w:cstheme="minorHAnsi"/>
          <w:sz w:val="24"/>
          <w:szCs w:val="24"/>
        </w:rPr>
        <w:t xml:space="preserve">Patients receiving a PENG block for intraoperative and postoperative analgesia during hip fracture surgery experience less postoperative pain in the recovery room with no difference detected by postoperative day 1. Quadriceps strength was better preserved with the PENG block. </w:t>
      </w:r>
      <w:r w:rsidR="00DE086D" w:rsidRPr="00B16A59">
        <w:rPr>
          <w:rFonts w:cstheme="minorHAnsi"/>
          <w:sz w:val="24"/>
          <w:szCs w:val="24"/>
        </w:rPr>
        <w:t>Anaesthesiologist</w:t>
      </w:r>
      <w:r w:rsidR="00421E35" w:rsidRPr="00B16A59">
        <w:rPr>
          <w:rFonts w:cstheme="minorHAnsi"/>
          <w:sz w:val="24"/>
          <w:szCs w:val="24"/>
        </w:rPr>
        <w:t xml:space="preserve"> satisfaction remained the same for both during positioning.</w:t>
      </w:r>
    </w:p>
    <w:p w14:paraId="327CF9AC" w14:textId="77777777" w:rsidR="005B2BB7" w:rsidRDefault="00985385" w:rsidP="00421E35">
      <w:pPr>
        <w:jc w:val="both"/>
        <w:rPr>
          <w:rFonts w:cstheme="minorHAnsi"/>
          <w:b/>
          <w:bCs/>
          <w:sz w:val="24"/>
          <w:szCs w:val="24"/>
        </w:rPr>
      </w:pPr>
      <w:r w:rsidRPr="00D44995">
        <w:rPr>
          <w:rFonts w:cstheme="minorHAnsi"/>
          <w:b/>
          <w:bCs/>
          <w:noProof/>
          <w:sz w:val="24"/>
          <w:szCs w:val="24"/>
          <w:lang w:eastAsia="en-IN"/>
        </w:rPr>
        <w:drawing>
          <wp:inline distT="0" distB="0" distL="0" distR="0" wp14:anchorId="327CF9BF" wp14:editId="327CF9C0">
            <wp:extent cx="5731510" cy="491693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916935"/>
                    </a:xfrm>
                    <a:prstGeom prst="rect">
                      <a:avLst/>
                    </a:prstGeom>
                    <a:noFill/>
                    <a:ln>
                      <a:noFill/>
                    </a:ln>
                  </pic:spPr>
                </pic:pic>
              </a:graphicData>
            </a:graphic>
          </wp:inline>
        </w:drawing>
      </w:r>
    </w:p>
    <w:p w14:paraId="0C8D4A95" w14:textId="77777777" w:rsidR="008E5E8A" w:rsidRPr="00D44995" w:rsidRDefault="008E5E8A" w:rsidP="00421E35">
      <w:pPr>
        <w:jc w:val="both"/>
        <w:rPr>
          <w:rFonts w:cstheme="minorHAnsi"/>
          <w:b/>
          <w:bCs/>
          <w:sz w:val="24"/>
          <w:szCs w:val="24"/>
        </w:rPr>
      </w:pPr>
    </w:p>
    <w:p w14:paraId="327CF9AD" w14:textId="77777777" w:rsidR="00985385" w:rsidRPr="0006652B" w:rsidRDefault="00B15DFE" w:rsidP="00421E35">
      <w:pPr>
        <w:jc w:val="both"/>
        <w:rPr>
          <w:rFonts w:cstheme="minorHAnsi"/>
          <w:b/>
          <w:color w:val="BF5A14"/>
          <w:sz w:val="24"/>
          <w:szCs w:val="24"/>
        </w:rPr>
      </w:pPr>
      <w:r w:rsidRPr="0006652B">
        <w:rPr>
          <w:rFonts w:cstheme="minorHAnsi"/>
          <w:b/>
          <w:color w:val="BF5A14"/>
          <w:sz w:val="24"/>
          <w:szCs w:val="24"/>
        </w:rPr>
        <w:t>Recent Publications</w:t>
      </w:r>
    </w:p>
    <w:p w14:paraId="327CF9AE" w14:textId="0B5156C2" w:rsidR="00B15DFE" w:rsidRPr="00B16A59" w:rsidRDefault="00B15DFE" w:rsidP="001931AD">
      <w:pPr>
        <w:pStyle w:val="ListParagraph"/>
        <w:numPr>
          <w:ilvl w:val="0"/>
          <w:numId w:val="1"/>
        </w:numPr>
        <w:ind w:left="360"/>
        <w:jc w:val="both"/>
        <w:rPr>
          <w:rFonts w:cstheme="minorHAnsi"/>
          <w:color w:val="000000"/>
          <w:sz w:val="20"/>
          <w:szCs w:val="20"/>
        </w:rPr>
      </w:pPr>
      <w:r w:rsidRPr="00B16A59">
        <w:rPr>
          <w:rFonts w:cstheme="minorHAnsi"/>
          <w:color w:val="000000"/>
          <w:sz w:val="20"/>
          <w:szCs w:val="20"/>
        </w:rPr>
        <w:t xml:space="preserve">Jain N, Mathur PR, </w:t>
      </w:r>
      <w:proofErr w:type="spellStart"/>
      <w:r w:rsidRPr="00B16A59">
        <w:rPr>
          <w:rFonts w:cstheme="minorHAnsi"/>
          <w:color w:val="000000"/>
          <w:sz w:val="20"/>
          <w:szCs w:val="20"/>
        </w:rPr>
        <w:t>Patodi</w:t>
      </w:r>
      <w:proofErr w:type="spellEnd"/>
      <w:r w:rsidRPr="00B16A59">
        <w:rPr>
          <w:rFonts w:cstheme="minorHAnsi"/>
          <w:color w:val="000000"/>
          <w:sz w:val="20"/>
          <w:szCs w:val="20"/>
        </w:rPr>
        <w:t xml:space="preserve"> V, Singh S. A comparative study of ultrasound-guided femoral nerve block versus fascia</w:t>
      </w:r>
      <w:r w:rsidR="002F7E07" w:rsidRPr="00B16A59">
        <w:rPr>
          <w:rFonts w:cstheme="minorHAnsi"/>
          <w:color w:val="000000"/>
          <w:sz w:val="20"/>
          <w:szCs w:val="20"/>
        </w:rPr>
        <w:t xml:space="preserve"> </w:t>
      </w:r>
      <w:proofErr w:type="spellStart"/>
      <w:r w:rsidRPr="00B16A59">
        <w:rPr>
          <w:rFonts w:cstheme="minorHAnsi"/>
          <w:color w:val="000000"/>
          <w:sz w:val="20"/>
          <w:szCs w:val="20"/>
        </w:rPr>
        <w:t>iliaca</w:t>
      </w:r>
      <w:proofErr w:type="spellEnd"/>
      <w:r w:rsidRPr="00B16A59">
        <w:rPr>
          <w:rFonts w:cstheme="minorHAnsi"/>
          <w:color w:val="000000"/>
          <w:sz w:val="20"/>
          <w:szCs w:val="20"/>
        </w:rPr>
        <w:t xml:space="preserve"> compartment block in patients with fracture femur for reducing pain associated with positioning for subarachnoid block. Indian J Pain 2018;32:150-4.</w:t>
      </w:r>
    </w:p>
    <w:p w14:paraId="6F1F80B7" w14:textId="77777777" w:rsidR="000A2DE0" w:rsidRPr="00B16A59" w:rsidRDefault="000A2DE0" w:rsidP="000A2DE0">
      <w:pPr>
        <w:pStyle w:val="ListParagraph"/>
        <w:ind w:left="360"/>
        <w:jc w:val="both"/>
        <w:rPr>
          <w:rFonts w:cstheme="minorHAnsi"/>
          <w:color w:val="000000"/>
          <w:sz w:val="20"/>
          <w:szCs w:val="20"/>
        </w:rPr>
      </w:pPr>
    </w:p>
    <w:p w14:paraId="327CF9B0" w14:textId="191E9EB6" w:rsidR="001C3768" w:rsidRPr="00B16A59" w:rsidRDefault="00B15DFE" w:rsidP="001931AD">
      <w:pPr>
        <w:pStyle w:val="ListParagraph"/>
        <w:numPr>
          <w:ilvl w:val="0"/>
          <w:numId w:val="1"/>
        </w:numPr>
        <w:autoSpaceDE w:val="0"/>
        <w:autoSpaceDN w:val="0"/>
        <w:adjustRightInd w:val="0"/>
        <w:spacing w:after="0" w:line="240" w:lineRule="auto"/>
        <w:ind w:left="360"/>
        <w:rPr>
          <w:rFonts w:cstheme="minorHAnsi"/>
          <w:color w:val="000000"/>
          <w:sz w:val="20"/>
          <w:szCs w:val="20"/>
        </w:rPr>
      </w:pPr>
      <w:proofErr w:type="spellStart"/>
      <w:r w:rsidRPr="00B16A59">
        <w:rPr>
          <w:rFonts w:cstheme="minorHAnsi"/>
          <w:color w:val="000000"/>
          <w:sz w:val="20"/>
          <w:szCs w:val="20"/>
          <w:lang w:val="nl-NL"/>
        </w:rPr>
        <w:t>Ahiskalioglu</w:t>
      </w:r>
      <w:proofErr w:type="spellEnd"/>
      <w:r w:rsidRPr="00B16A59">
        <w:rPr>
          <w:rFonts w:cstheme="minorHAnsi"/>
          <w:color w:val="000000"/>
          <w:sz w:val="20"/>
          <w:szCs w:val="20"/>
          <w:lang w:val="nl-NL"/>
        </w:rPr>
        <w:t xml:space="preserve"> A, Aydin ME, Celik M, et al. </w:t>
      </w:r>
      <w:r w:rsidRPr="00B16A59">
        <w:rPr>
          <w:rFonts w:cstheme="minorHAnsi"/>
          <w:color w:val="000000"/>
          <w:sz w:val="20"/>
          <w:szCs w:val="20"/>
        </w:rPr>
        <w:t xml:space="preserve">Can high volume pericapsular nerve group (PENG) block act as a lumbar plexus block? J Clin </w:t>
      </w:r>
      <w:proofErr w:type="spellStart"/>
      <w:r w:rsidRPr="00B16A59">
        <w:rPr>
          <w:rFonts w:cstheme="minorHAnsi"/>
          <w:color w:val="000000"/>
          <w:sz w:val="20"/>
          <w:szCs w:val="20"/>
        </w:rPr>
        <w:t>Anesth</w:t>
      </w:r>
      <w:proofErr w:type="spellEnd"/>
      <w:r w:rsidRPr="00B16A59">
        <w:rPr>
          <w:rFonts w:cstheme="minorHAnsi"/>
          <w:color w:val="000000"/>
          <w:sz w:val="20"/>
          <w:szCs w:val="20"/>
        </w:rPr>
        <w:t xml:space="preserve"> 2020;61:109650.</w:t>
      </w:r>
    </w:p>
    <w:p w14:paraId="0EFFE986" w14:textId="77777777" w:rsidR="000A2DE0" w:rsidRPr="00B16A59" w:rsidRDefault="000A2DE0" w:rsidP="000A2DE0">
      <w:pPr>
        <w:pStyle w:val="ListParagraph"/>
        <w:rPr>
          <w:rFonts w:cstheme="minorHAnsi"/>
          <w:color w:val="000000"/>
          <w:sz w:val="20"/>
          <w:szCs w:val="20"/>
        </w:rPr>
      </w:pPr>
    </w:p>
    <w:p w14:paraId="327CF9B2" w14:textId="7DCE14CD" w:rsidR="001C3768" w:rsidRPr="00B16A59" w:rsidRDefault="001C3768" w:rsidP="001931AD">
      <w:pPr>
        <w:pStyle w:val="ListParagraph"/>
        <w:numPr>
          <w:ilvl w:val="0"/>
          <w:numId w:val="1"/>
        </w:numPr>
        <w:autoSpaceDE w:val="0"/>
        <w:autoSpaceDN w:val="0"/>
        <w:adjustRightInd w:val="0"/>
        <w:spacing w:after="0" w:line="240" w:lineRule="auto"/>
        <w:ind w:left="360"/>
        <w:rPr>
          <w:rFonts w:cstheme="minorHAnsi"/>
          <w:color w:val="000000"/>
          <w:sz w:val="20"/>
          <w:szCs w:val="20"/>
        </w:rPr>
      </w:pPr>
      <w:proofErr w:type="spellStart"/>
      <w:r w:rsidRPr="00B16A59">
        <w:rPr>
          <w:rFonts w:cstheme="minorHAnsi"/>
          <w:color w:val="000000"/>
          <w:sz w:val="20"/>
          <w:szCs w:val="20"/>
        </w:rPr>
        <w:t>Ritcey</w:t>
      </w:r>
      <w:proofErr w:type="spellEnd"/>
      <w:r w:rsidRPr="00B16A59">
        <w:rPr>
          <w:rFonts w:cstheme="minorHAnsi"/>
          <w:color w:val="000000"/>
          <w:sz w:val="20"/>
          <w:szCs w:val="20"/>
        </w:rPr>
        <w:t xml:space="preserve"> B, </w:t>
      </w:r>
      <w:proofErr w:type="spellStart"/>
      <w:r w:rsidRPr="00B16A59">
        <w:rPr>
          <w:rFonts w:cstheme="minorHAnsi"/>
          <w:color w:val="000000"/>
          <w:sz w:val="20"/>
          <w:szCs w:val="20"/>
        </w:rPr>
        <w:t>Pageau</w:t>
      </w:r>
      <w:proofErr w:type="spellEnd"/>
      <w:r w:rsidRPr="00B16A59">
        <w:rPr>
          <w:rFonts w:cstheme="minorHAnsi"/>
          <w:color w:val="000000"/>
          <w:sz w:val="20"/>
          <w:szCs w:val="20"/>
        </w:rPr>
        <w:t xml:space="preserve"> P, Woo MY, Perry JJ. Regional nerve blocks for hip and femoral neck fractures in the emergency department: A systematic review. CJEM 2016;18:37-47.</w:t>
      </w:r>
    </w:p>
    <w:p w14:paraId="04BD4A06" w14:textId="77777777" w:rsidR="000A2DE0" w:rsidRPr="00B16A59" w:rsidRDefault="000A2DE0" w:rsidP="000A2DE0">
      <w:pPr>
        <w:pStyle w:val="ListParagraph"/>
        <w:rPr>
          <w:rFonts w:cstheme="minorHAnsi"/>
          <w:color w:val="000000"/>
          <w:sz w:val="20"/>
          <w:szCs w:val="20"/>
        </w:rPr>
      </w:pPr>
    </w:p>
    <w:p w14:paraId="327CF9B3" w14:textId="44612B8C" w:rsidR="001C3768" w:rsidRPr="00B16A59" w:rsidRDefault="003E2C88" w:rsidP="001931AD">
      <w:pPr>
        <w:pStyle w:val="ListParagraph"/>
        <w:numPr>
          <w:ilvl w:val="0"/>
          <w:numId w:val="1"/>
        </w:numPr>
        <w:autoSpaceDE w:val="0"/>
        <w:autoSpaceDN w:val="0"/>
        <w:adjustRightInd w:val="0"/>
        <w:spacing w:after="0" w:line="240" w:lineRule="auto"/>
        <w:ind w:left="360"/>
        <w:rPr>
          <w:rFonts w:cstheme="minorHAnsi"/>
          <w:color w:val="000000"/>
          <w:sz w:val="20"/>
          <w:szCs w:val="20"/>
        </w:rPr>
      </w:pPr>
      <w:proofErr w:type="spellStart"/>
      <w:r w:rsidRPr="00B16A59">
        <w:rPr>
          <w:rFonts w:cstheme="minorHAnsi"/>
          <w:color w:val="000000"/>
          <w:sz w:val="20"/>
          <w:szCs w:val="20"/>
          <w:lang w:val="nl-NL"/>
        </w:rPr>
        <w:t>Sharma</w:t>
      </w:r>
      <w:proofErr w:type="spellEnd"/>
      <w:r w:rsidRPr="00B16A59">
        <w:rPr>
          <w:rFonts w:cstheme="minorHAnsi"/>
          <w:color w:val="000000"/>
          <w:sz w:val="20"/>
          <w:szCs w:val="20"/>
          <w:lang w:val="nl-NL"/>
        </w:rPr>
        <w:t xml:space="preserve"> S, </w:t>
      </w:r>
      <w:proofErr w:type="spellStart"/>
      <w:r w:rsidRPr="00B16A59">
        <w:rPr>
          <w:rFonts w:cstheme="minorHAnsi"/>
          <w:color w:val="000000"/>
          <w:sz w:val="20"/>
          <w:szCs w:val="20"/>
          <w:lang w:val="nl-NL"/>
        </w:rPr>
        <w:t>Iorio</w:t>
      </w:r>
      <w:proofErr w:type="spellEnd"/>
      <w:r w:rsidRPr="00B16A59">
        <w:rPr>
          <w:rFonts w:cstheme="minorHAnsi"/>
          <w:color w:val="000000"/>
          <w:sz w:val="20"/>
          <w:szCs w:val="20"/>
          <w:lang w:val="nl-NL"/>
        </w:rPr>
        <w:t xml:space="preserve"> R, Specht LM, et al. </w:t>
      </w:r>
      <w:r w:rsidRPr="00B16A59">
        <w:rPr>
          <w:rFonts w:cstheme="minorHAnsi"/>
          <w:color w:val="000000"/>
          <w:sz w:val="20"/>
          <w:szCs w:val="20"/>
        </w:rPr>
        <w:t xml:space="preserve">Complications of femoral nerve block for </w:t>
      </w:r>
      <w:proofErr w:type="spellStart"/>
      <w:r w:rsidRPr="00B16A59">
        <w:rPr>
          <w:rFonts w:cstheme="minorHAnsi"/>
          <w:color w:val="000000"/>
          <w:sz w:val="20"/>
          <w:szCs w:val="20"/>
        </w:rPr>
        <w:t>totalknee</w:t>
      </w:r>
      <w:proofErr w:type="spellEnd"/>
      <w:r w:rsidRPr="00B16A59">
        <w:rPr>
          <w:rFonts w:cstheme="minorHAnsi"/>
          <w:color w:val="000000"/>
          <w:sz w:val="20"/>
          <w:szCs w:val="20"/>
        </w:rPr>
        <w:t xml:space="preserve"> arthroplasty. Clin </w:t>
      </w:r>
      <w:proofErr w:type="spellStart"/>
      <w:r w:rsidRPr="00B16A59">
        <w:rPr>
          <w:rFonts w:cstheme="minorHAnsi"/>
          <w:color w:val="000000"/>
          <w:sz w:val="20"/>
          <w:szCs w:val="20"/>
        </w:rPr>
        <w:t>Orthop</w:t>
      </w:r>
      <w:proofErr w:type="spellEnd"/>
      <w:r w:rsidRPr="00B16A59">
        <w:rPr>
          <w:rFonts w:cstheme="minorHAnsi"/>
          <w:color w:val="000000"/>
          <w:sz w:val="20"/>
          <w:szCs w:val="20"/>
        </w:rPr>
        <w:t xml:space="preserve"> </w:t>
      </w:r>
      <w:proofErr w:type="spellStart"/>
      <w:r w:rsidRPr="00B16A59">
        <w:rPr>
          <w:rFonts w:cstheme="minorHAnsi"/>
          <w:color w:val="000000"/>
          <w:sz w:val="20"/>
          <w:szCs w:val="20"/>
        </w:rPr>
        <w:t>Relat</w:t>
      </w:r>
      <w:proofErr w:type="spellEnd"/>
      <w:r w:rsidRPr="00B16A59">
        <w:rPr>
          <w:rFonts w:cstheme="minorHAnsi"/>
          <w:color w:val="000000"/>
          <w:sz w:val="20"/>
          <w:szCs w:val="20"/>
        </w:rPr>
        <w:t xml:space="preserve"> Res 2010;468:135–40.</w:t>
      </w:r>
    </w:p>
    <w:p w14:paraId="62A11C14" w14:textId="77777777" w:rsidR="000A2DE0" w:rsidRPr="00B16A59" w:rsidRDefault="000A2DE0" w:rsidP="000A2DE0">
      <w:pPr>
        <w:pStyle w:val="ListParagraph"/>
        <w:rPr>
          <w:rFonts w:cstheme="minorHAnsi"/>
          <w:color w:val="000000"/>
          <w:sz w:val="20"/>
          <w:szCs w:val="20"/>
        </w:rPr>
      </w:pPr>
    </w:p>
    <w:p w14:paraId="695A094B" w14:textId="4AE58744" w:rsidR="001931AD" w:rsidRPr="00B16A59" w:rsidRDefault="003E2C88" w:rsidP="001931AD">
      <w:pPr>
        <w:pStyle w:val="ListParagraph"/>
        <w:numPr>
          <w:ilvl w:val="0"/>
          <w:numId w:val="1"/>
        </w:numPr>
        <w:autoSpaceDE w:val="0"/>
        <w:autoSpaceDN w:val="0"/>
        <w:adjustRightInd w:val="0"/>
        <w:spacing w:after="0" w:line="240" w:lineRule="auto"/>
        <w:ind w:left="360"/>
        <w:rPr>
          <w:rFonts w:cstheme="minorHAnsi"/>
          <w:color w:val="000000"/>
          <w:sz w:val="20"/>
          <w:szCs w:val="20"/>
        </w:rPr>
      </w:pPr>
      <w:r w:rsidRPr="00B16A59">
        <w:rPr>
          <w:rFonts w:cstheme="minorHAnsi"/>
          <w:color w:val="000000"/>
          <w:sz w:val="20"/>
          <w:szCs w:val="20"/>
        </w:rPr>
        <w:t xml:space="preserve">Ghimire A, Bhattarai B, Koirala S, </w:t>
      </w:r>
      <w:proofErr w:type="spellStart"/>
      <w:r w:rsidRPr="00B16A59">
        <w:rPr>
          <w:rFonts w:cstheme="minorHAnsi"/>
          <w:color w:val="000000"/>
          <w:sz w:val="20"/>
          <w:szCs w:val="20"/>
        </w:rPr>
        <w:t>Subedi</w:t>
      </w:r>
      <w:proofErr w:type="spellEnd"/>
      <w:r w:rsidRPr="00B16A59">
        <w:rPr>
          <w:rFonts w:cstheme="minorHAnsi"/>
          <w:color w:val="000000"/>
          <w:sz w:val="20"/>
          <w:szCs w:val="20"/>
        </w:rPr>
        <w:t xml:space="preserve"> A. Analgesia before performing subarachnoid block in the sitting position in patients with proximal femoral fracture: A comparison</w:t>
      </w:r>
      <w:r w:rsidRPr="00B16A59">
        <w:rPr>
          <w:rFonts w:cstheme="minorHAnsi"/>
          <w:color w:val="000000"/>
          <w:sz w:val="24"/>
          <w:szCs w:val="24"/>
        </w:rPr>
        <w:t xml:space="preserve"> </w:t>
      </w:r>
      <w:r w:rsidRPr="00B16A59">
        <w:rPr>
          <w:rFonts w:cstheme="minorHAnsi"/>
          <w:color w:val="000000"/>
          <w:sz w:val="20"/>
          <w:szCs w:val="20"/>
        </w:rPr>
        <w:t xml:space="preserve">between fascia </w:t>
      </w:r>
      <w:proofErr w:type="spellStart"/>
      <w:r w:rsidRPr="00B16A59">
        <w:rPr>
          <w:rFonts w:cstheme="minorHAnsi"/>
          <w:color w:val="000000"/>
          <w:sz w:val="20"/>
          <w:szCs w:val="20"/>
        </w:rPr>
        <w:t>iliaca</w:t>
      </w:r>
      <w:proofErr w:type="spellEnd"/>
      <w:r w:rsidRPr="00B16A59">
        <w:rPr>
          <w:rFonts w:cstheme="minorHAnsi"/>
          <w:color w:val="000000"/>
          <w:sz w:val="20"/>
          <w:szCs w:val="20"/>
        </w:rPr>
        <w:t xml:space="preserve"> block and femoral nerve block. Kathmandu </w:t>
      </w:r>
      <w:proofErr w:type="spellStart"/>
      <w:r w:rsidRPr="00B16A59">
        <w:rPr>
          <w:rFonts w:cstheme="minorHAnsi"/>
          <w:color w:val="000000"/>
          <w:sz w:val="20"/>
          <w:szCs w:val="20"/>
        </w:rPr>
        <w:t>Univ</w:t>
      </w:r>
      <w:proofErr w:type="spellEnd"/>
      <w:r w:rsidRPr="00B16A59">
        <w:rPr>
          <w:rFonts w:cstheme="minorHAnsi"/>
          <w:color w:val="000000"/>
          <w:sz w:val="20"/>
          <w:szCs w:val="20"/>
        </w:rPr>
        <w:t xml:space="preserve"> Med J (KUMJ) 2015;13:152-5.</w:t>
      </w:r>
    </w:p>
    <w:p w14:paraId="2927FA62" w14:textId="77777777" w:rsidR="001E212E" w:rsidRPr="00B16A59" w:rsidRDefault="001E212E" w:rsidP="001E212E">
      <w:pPr>
        <w:pStyle w:val="ListParagraph"/>
        <w:rPr>
          <w:rFonts w:cstheme="minorHAnsi"/>
          <w:color w:val="000000"/>
          <w:sz w:val="20"/>
          <w:szCs w:val="20"/>
        </w:rPr>
      </w:pPr>
    </w:p>
    <w:p w14:paraId="3C19142E" w14:textId="77777777" w:rsidR="001E212E" w:rsidRPr="00B16A59" w:rsidRDefault="001E212E" w:rsidP="001E212E">
      <w:pPr>
        <w:pStyle w:val="ListParagraph"/>
        <w:autoSpaceDE w:val="0"/>
        <w:autoSpaceDN w:val="0"/>
        <w:adjustRightInd w:val="0"/>
        <w:spacing w:after="0" w:line="240" w:lineRule="auto"/>
        <w:ind w:left="360"/>
        <w:rPr>
          <w:rFonts w:cstheme="minorHAnsi"/>
          <w:color w:val="000000"/>
          <w:sz w:val="20"/>
          <w:szCs w:val="20"/>
        </w:rPr>
      </w:pPr>
    </w:p>
    <w:p w14:paraId="3927D8A4" w14:textId="77777777" w:rsidR="009C4590" w:rsidRPr="00B16A59" w:rsidRDefault="009C4590" w:rsidP="001E212E">
      <w:pPr>
        <w:pStyle w:val="ListParagraph"/>
        <w:autoSpaceDE w:val="0"/>
        <w:autoSpaceDN w:val="0"/>
        <w:adjustRightInd w:val="0"/>
        <w:spacing w:after="0" w:line="240" w:lineRule="auto"/>
        <w:ind w:left="360"/>
        <w:rPr>
          <w:rFonts w:cstheme="minorHAnsi"/>
          <w:color w:val="000000"/>
          <w:sz w:val="20"/>
          <w:szCs w:val="20"/>
        </w:rPr>
      </w:pPr>
    </w:p>
    <w:p w14:paraId="327CF9B7" w14:textId="3B57B851" w:rsidR="005B2BB7" w:rsidRDefault="005B2BB7" w:rsidP="001931AD">
      <w:pPr>
        <w:autoSpaceDE w:val="0"/>
        <w:autoSpaceDN w:val="0"/>
        <w:adjustRightInd w:val="0"/>
        <w:spacing w:after="0" w:line="240" w:lineRule="auto"/>
        <w:rPr>
          <w:rStyle w:val="Hyperlink"/>
          <w:rFonts w:cstheme="minorHAnsi"/>
          <w:sz w:val="24"/>
          <w:szCs w:val="24"/>
        </w:rPr>
      </w:pPr>
      <w:r w:rsidRPr="003E1DD4">
        <w:rPr>
          <w:rFonts w:cstheme="minorHAnsi"/>
          <w:color w:val="000000"/>
          <w:sz w:val="24"/>
          <w:szCs w:val="24"/>
        </w:rPr>
        <w:t>Email</w:t>
      </w:r>
      <w:r w:rsidRPr="00B16A59">
        <w:rPr>
          <w:rFonts w:cstheme="minorHAnsi"/>
          <w:sz w:val="20"/>
          <w:szCs w:val="20"/>
        </w:rPr>
        <w:t>:</w:t>
      </w:r>
      <w:r w:rsidR="0036194C">
        <w:rPr>
          <w:rFonts w:cstheme="minorHAnsi"/>
          <w:sz w:val="20"/>
          <w:szCs w:val="20"/>
        </w:rPr>
        <w:t xml:space="preserve"> </w:t>
      </w:r>
      <w:hyperlink r:id="rId6" w:history="1">
        <w:r w:rsidR="0036194C" w:rsidRPr="00292088">
          <w:rPr>
            <w:rStyle w:val="Hyperlink"/>
            <w:rFonts w:cstheme="minorHAnsi"/>
            <w:sz w:val="24"/>
            <w:szCs w:val="24"/>
          </w:rPr>
          <w:t>sarmistha.luckyfeb@gmail.com</w:t>
        </w:r>
      </w:hyperlink>
    </w:p>
    <w:p w14:paraId="34C36551" w14:textId="77777777" w:rsidR="004955AD" w:rsidRPr="003E1DD4" w:rsidRDefault="004955AD" w:rsidP="001931AD">
      <w:pPr>
        <w:autoSpaceDE w:val="0"/>
        <w:autoSpaceDN w:val="0"/>
        <w:adjustRightInd w:val="0"/>
        <w:spacing w:after="0" w:line="240" w:lineRule="auto"/>
        <w:rPr>
          <w:rFonts w:cstheme="minorHAnsi"/>
          <w:color w:val="000000"/>
          <w:sz w:val="24"/>
          <w:szCs w:val="24"/>
        </w:rPr>
      </w:pPr>
    </w:p>
    <w:p w14:paraId="327CF9B8" w14:textId="07984FD1" w:rsidR="00154DFC" w:rsidRPr="00B16A59" w:rsidRDefault="00371934" w:rsidP="00421E35">
      <w:pPr>
        <w:jc w:val="both"/>
        <w:rPr>
          <w:rFonts w:cstheme="minorHAnsi"/>
          <w:sz w:val="20"/>
          <w:szCs w:val="20"/>
        </w:rPr>
      </w:pPr>
      <w:r>
        <w:rPr>
          <w:rFonts w:cstheme="minorHAnsi"/>
          <w:noProof/>
          <w:sz w:val="20"/>
          <w:szCs w:val="20"/>
        </w:rPr>
        <w:drawing>
          <wp:inline distT="0" distB="0" distL="0" distR="0" wp14:anchorId="793AB374" wp14:editId="4D4957D8">
            <wp:extent cx="2095068" cy="2433955"/>
            <wp:effectExtent l="0" t="0" r="635" b="4445"/>
            <wp:docPr id="3" name="Picture 3" descr="A person in blue scru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in blue scrub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5325" cy="2457489"/>
                    </a:xfrm>
                    <a:prstGeom prst="rect">
                      <a:avLst/>
                    </a:prstGeom>
                  </pic:spPr>
                </pic:pic>
              </a:graphicData>
            </a:graphic>
          </wp:inline>
        </w:drawing>
      </w:r>
    </w:p>
    <w:p w14:paraId="64FE8F7C" w14:textId="77777777" w:rsidR="003E1DD4" w:rsidRDefault="00154DFC" w:rsidP="00881AA4">
      <w:pPr>
        <w:rPr>
          <w:rFonts w:cstheme="minorHAnsi"/>
          <w:color w:val="000000"/>
          <w:sz w:val="24"/>
          <w:szCs w:val="24"/>
        </w:rPr>
      </w:pPr>
      <w:r w:rsidRPr="003E1DD4">
        <w:rPr>
          <w:rFonts w:cstheme="minorHAnsi"/>
          <w:b/>
          <w:color w:val="BF5A14"/>
          <w:sz w:val="24"/>
          <w:szCs w:val="24"/>
        </w:rPr>
        <w:t>Biography</w:t>
      </w:r>
      <w:r w:rsidRPr="00B16A59">
        <w:rPr>
          <w:rFonts w:cstheme="minorHAnsi"/>
        </w:rPr>
        <w:t xml:space="preserve"> </w:t>
      </w:r>
    </w:p>
    <w:p w14:paraId="327CF9BB" w14:textId="54E230FA" w:rsidR="00154DFC" w:rsidRPr="00460EFC" w:rsidRDefault="00460EFC" w:rsidP="00421E35">
      <w:pPr>
        <w:jc w:val="both"/>
        <w:rPr>
          <w:rFonts w:cstheme="minorHAnsi"/>
          <w:color w:val="000000"/>
          <w:sz w:val="24"/>
          <w:szCs w:val="24"/>
          <w:lang w:val="en-US"/>
        </w:rPr>
      </w:pPr>
      <w:r w:rsidRPr="00460EFC">
        <w:rPr>
          <w:rFonts w:cstheme="minorHAnsi"/>
          <w:color w:val="000000"/>
          <w:sz w:val="24"/>
          <w:szCs w:val="24"/>
        </w:rPr>
        <w:t xml:space="preserve">Dr Sarmistha has her expertise in dealing high-risk surgeries, difficult intubations and mastered regional blocks and ICU procedures. Her unwavering dedication to patient safety, coupled with her prowess in intricate procedures, has solidified her position as a trailblazer in the field of anaesthesiology. </w:t>
      </w:r>
    </w:p>
    <w:p w14:paraId="327CF9BC" w14:textId="77777777" w:rsidR="00985385" w:rsidRPr="00B16A59" w:rsidRDefault="00985385" w:rsidP="00421E35">
      <w:pPr>
        <w:jc w:val="both"/>
        <w:rPr>
          <w:rFonts w:cstheme="minorHAnsi"/>
          <w:sz w:val="20"/>
          <w:szCs w:val="20"/>
        </w:rPr>
      </w:pPr>
    </w:p>
    <w:p w14:paraId="327CF9BD" w14:textId="77777777" w:rsidR="005B2BB7" w:rsidRPr="00B16A59" w:rsidRDefault="005B2BB7" w:rsidP="00421E35">
      <w:pPr>
        <w:jc w:val="both"/>
        <w:rPr>
          <w:rFonts w:cstheme="minorHAnsi"/>
          <w:sz w:val="20"/>
          <w:szCs w:val="20"/>
        </w:rPr>
      </w:pPr>
    </w:p>
    <w:p w14:paraId="327CF9BE" w14:textId="77777777" w:rsidR="005B2BB7" w:rsidRPr="00B16A59" w:rsidRDefault="005B2BB7" w:rsidP="00421E35">
      <w:pPr>
        <w:jc w:val="both"/>
        <w:rPr>
          <w:rFonts w:cstheme="minorHAnsi"/>
          <w:b/>
          <w:bCs/>
          <w:sz w:val="24"/>
          <w:szCs w:val="24"/>
        </w:rPr>
      </w:pPr>
    </w:p>
    <w:sectPr w:rsidR="005B2BB7" w:rsidRPr="00B16A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Gautami">
    <w:panose1 w:val="02000500000000000000"/>
    <w:charset w:val="01"/>
    <w:family w:val="roman"/>
    <w:pitch w:val="variable"/>
  </w:font>
  <w:font w:name="Minion Pro">
    <w:altName w:val="Cambria Math"/>
    <w:panose1 w:val="00000000000000000000"/>
    <w:charset w:val="00"/>
    <w:family w:val="roman"/>
    <w:notTrueType/>
    <w:pitch w:val="variable"/>
    <w:sig w:usb0="00000003"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D33874"/>
    <w:multiLevelType w:val="hybridMultilevel"/>
    <w:tmpl w:val="E912E3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244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4DF2"/>
    <w:rsid w:val="0006652B"/>
    <w:rsid w:val="0009200B"/>
    <w:rsid w:val="000A2DE0"/>
    <w:rsid w:val="00154DFC"/>
    <w:rsid w:val="001931AD"/>
    <w:rsid w:val="001B4B23"/>
    <w:rsid w:val="001C3768"/>
    <w:rsid w:val="001E212E"/>
    <w:rsid w:val="001F0851"/>
    <w:rsid w:val="00231109"/>
    <w:rsid w:val="00247037"/>
    <w:rsid w:val="00284A65"/>
    <w:rsid w:val="002D6FD3"/>
    <w:rsid w:val="002F7E07"/>
    <w:rsid w:val="00333AAD"/>
    <w:rsid w:val="0036194C"/>
    <w:rsid w:val="00371934"/>
    <w:rsid w:val="003E1DD4"/>
    <w:rsid w:val="003E2C88"/>
    <w:rsid w:val="00421E35"/>
    <w:rsid w:val="004577E6"/>
    <w:rsid w:val="00460EFC"/>
    <w:rsid w:val="00486894"/>
    <w:rsid w:val="004955AD"/>
    <w:rsid w:val="004B5B31"/>
    <w:rsid w:val="004F3015"/>
    <w:rsid w:val="005B2BB7"/>
    <w:rsid w:val="0064031C"/>
    <w:rsid w:val="00681BA5"/>
    <w:rsid w:val="006B4B02"/>
    <w:rsid w:val="006C5F29"/>
    <w:rsid w:val="006D09B8"/>
    <w:rsid w:val="006E2A7B"/>
    <w:rsid w:val="00707ABD"/>
    <w:rsid w:val="00726308"/>
    <w:rsid w:val="00881AA4"/>
    <w:rsid w:val="008E5E8A"/>
    <w:rsid w:val="00985385"/>
    <w:rsid w:val="009B0973"/>
    <w:rsid w:val="009B6219"/>
    <w:rsid w:val="009C4590"/>
    <w:rsid w:val="009D4DF2"/>
    <w:rsid w:val="00AD5B5E"/>
    <w:rsid w:val="00B05688"/>
    <w:rsid w:val="00B15DFE"/>
    <w:rsid w:val="00B16A59"/>
    <w:rsid w:val="00B822CD"/>
    <w:rsid w:val="00C3059E"/>
    <w:rsid w:val="00C34F4B"/>
    <w:rsid w:val="00CC6698"/>
    <w:rsid w:val="00CF3785"/>
    <w:rsid w:val="00D44995"/>
    <w:rsid w:val="00DE086D"/>
    <w:rsid w:val="00DF5ED8"/>
    <w:rsid w:val="00DF73C2"/>
    <w:rsid w:val="00E6471D"/>
    <w:rsid w:val="00EB31CA"/>
    <w:rsid w:val="00EB3C2E"/>
    <w:rsid w:val="00F20F39"/>
    <w:rsid w:val="00FE2D84"/>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CF9A9"/>
  <w15:docId w15:val="{46A799C7-272B-4C57-92D0-E9FA2B00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Gautami"/>
    </w:rPr>
  </w:style>
  <w:style w:type="paragraph" w:styleId="Heading1">
    <w:name w:val="heading 1"/>
    <w:basedOn w:val="Normal"/>
    <w:link w:val="Heading1Char"/>
    <w:uiPriority w:val="1"/>
    <w:qFormat/>
    <w:rsid w:val="009D4DF2"/>
    <w:pPr>
      <w:widowControl w:val="0"/>
      <w:spacing w:before="47" w:after="0" w:line="400" w:lineRule="exact"/>
      <w:ind w:left="100"/>
      <w:outlineLvl w:val="0"/>
    </w:pPr>
    <w:rPr>
      <w:rFonts w:ascii="Minion Pro" w:eastAsia="Minion Pro" w:hAnsi="Minion Pro" w:cs="Minion Pro"/>
      <w:b/>
      <w:bCs/>
      <w:sz w:val="36"/>
      <w:szCs w:val="36"/>
      <w:lang w:val="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4DF2"/>
    <w:rPr>
      <w:rFonts w:ascii="Minion Pro" w:eastAsia="Minion Pro" w:hAnsi="Minion Pro" w:cs="Minion Pro"/>
      <w:b/>
      <w:bCs/>
      <w:sz w:val="36"/>
      <w:szCs w:val="36"/>
      <w:lang w:val="en-US" w:bidi="ar-SA"/>
    </w:rPr>
  </w:style>
  <w:style w:type="paragraph" w:customStyle="1" w:styleId="Default">
    <w:name w:val="Default"/>
    <w:rsid w:val="0009200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B2BB7"/>
    <w:rPr>
      <w:color w:val="0000FF" w:themeColor="hyperlink"/>
      <w:u w:val="single"/>
    </w:rPr>
  </w:style>
  <w:style w:type="paragraph" w:styleId="BalloonText">
    <w:name w:val="Balloon Text"/>
    <w:basedOn w:val="Normal"/>
    <w:link w:val="BalloonTextChar"/>
    <w:uiPriority w:val="99"/>
    <w:semiHidden/>
    <w:unhideWhenUsed/>
    <w:rsid w:val="00985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385"/>
    <w:rPr>
      <w:rFonts w:ascii="Tahoma" w:hAnsi="Tahoma" w:cs="Tahoma"/>
      <w:sz w:val="16"/>
      <w:szCs w:val="16"/>
    </w:rPr>
  </w:style>
  <w:style w:type="paragraph" w:styleId="ListParagraph">
    <w:name w:val="List Paragraph"/>
    <w:basedOn w:val="Normal"/>
    <w:uiPriority w:val="34"/>
    <w:qFormat/>
    <w:rsid w:val="001931AD"/>
    <w:pPr>
      <w:ind w:left="720"/>
      <w:contextualSpacing/>
    </w:pPr>
  </w:style>
  <w:style w:type="character" w:styleId="UnresolvedMention">
    <w:name w:val="Unresolved Mention"/>
    <w:basedOn w:val="DefaultParagraphFont"/>
    <w:uiPriority w:val="99"/>
    <w:semiHidden/>
    <w:unhideWhenUsed/>
    <w:rsid w:val="00361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08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rmistha.luckyfeb@gmail.com"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1</Pages>
  <Words>489</Words>
  <Characters>2792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Sarmistha</dc:creator>
  <cp:keywords/>
  <cp:lastModifiedBy>Korukonda, S (Sailaja)</cp:lastModifiedBy>
  <cp:revision>39</cp:revision>
  <dcterms:created xsi:type="dcterms:W3CDTF">2023-08-24T01:58:00Z</dcterms:created>
  <dcterms:modified xsi:type="dcterms:W3CDTF">2023-08-24T01:07:00Z</dcterms:modified>
</cp:coreProperties>
</file>