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EBAB6" w14:textId="6CCFE7CE" w:rsidR="00D75FFF" w:rsidRPr="00891A6F" w:rsidRDefault="00D75FFF" w:rsidP="00D75FFF">
      <w:pPr>
        <w:spacing w:line="480" w:lineRule="auto"/>
        <w:jc w:val="center"/>
        <w:rPr>
          <w:rFonts w:cstheme="minorHAnsi"/>
          <w:b/>
          <w:bCs/>
          <w:kern w:val="0"/>
          <w:sz w:val="24"/>
          <w:szCs w:val="24"/>
          <w:u w:val="single"/>
          <w14:ligatures w14:val="none"/>
        </w:rPr>
      </w:pPr>
      <w:r w:rsidRPr="00891A6F">
        <w:rPr>
          <w:rFonts w:cstheme="minorHAnsi"/>
          <w:b/>
          <w:bCs/>
          <w:kern w:val="0"/>
          <w:sz w:val="24"/>
          <w:szCs w:val="24"/>
          <w:u w:val="single"/>
          <w14:ligatures w14:val="none"/>
        </w:rPr>
        <w:t>Surgical versus non-operative treatment for Bennett’s fractures of the thumb. A matched patient cohort study.</w:t>
      </w:r>
    </w:p>
    <w:p w14:paraId="7B085738" w14:textId="3D85C4E1" w:rsidR="002E7684" w:rsidRPr="00891A6F" w:rsidRDefault="002E7684" w:rsidP="002E7684">
      <w:pPr>
        <w:spacing w:line="480" w:lineRule="auto"/>
        <w:jc w:val="both"/>
        <w:rPr>
          <w:rFonts w:cstheme="minorHAnsi"/>
          <w:kern w:val="0"/>
          <w14:ligatures w14:val="none"/>
        </w:rPr>
      </w:pPr>
      <w:r w:rsidRPr="00891A6F">
        <w:rPr>
          <w:rFonts w:cstheme="minorHAnsi"/>
          <w:kern w:val="0"/>
          <w14:ligatures w14:val="none"/>
        </w:rPr>
        <w:t>The best treatment option for displaced Bennett’s fractures has not been clearly established</w:t>
      </w:r>
      <w:r w:rsidRPr="00891A6F">
        <w:rPr>
          <w:rFonts w:cstheme="minorHAnsi"/>
          <w:kern w:val="0"/>
          <w14:ligatures w14:val="none"/>
        </w:rPr>
        <w:t>,</w:t>
      </w:r>
      <w:r w:rsidRPr="00891A6F">
        <w:rPr>
          <w:rFonts w:cstheme="minorHAnsi"/>
          <w:kern w:val="0"/>
          <w14:ligatures w14:val="none"/>
        </w:rPr>
        <w:t xml:space="preserve"> and the impact on patient outcome into the medium and long term. This study aims to examine and compare the medium-term outcomes of Bennett’s fractures treated surgically and non-operatively.</w:t>
      </w:r>
    </w:p>
    <w:p w14:paraId="0A062361" w14:textId="489A98A6" w:rsidR="002E7684" w:rsidRPr="00891A6F" w:rsidRDefault="002E7684" w:rsidP="002E7684">
      <w:pPr>
        <w:spacing w:line="480" w:lineRule="auto"/>
        <w:jc w:val="both"/>
        <w:rPr>
          <w:rFonts w:cstheme="minorHAnsi"/>
          <w:kern w:val="0"/>
          <w14:ligatures w14:val="none"/>
        </w:rPr>
      </w:pPr>
      <w:r w:rsidRPr="00891A6F">
        <w:rPr>
          <w:rFonts w:cstheme="minorHAnsi"/>
          <w:kern w:val="0"/>
          <w14:ligatures w14:val="none"/>
        </w:rPr>
        <w:t>We retrospectively identified all patients</w:t>
      </w:r>
      <w:r w:rsidRPr="00891A6F">
        <w:rPr>
          <w:rFonts w:cstheme="minorHAnsi"/>
          <w:kern w:val="0"/>
          <w14:ligatures w14:val="none"/>
        </w:rPr>
        <w:t xml:space="preserve"> (n=33)</w:t>
      </w:r>
      <w:r w:rsidRPr="00891A6F">
        <w:rPr>
          <w:rFonts w:cstheme="minorHAnsi"/>
          <w:kern w:val="0"/>
          <w14:ligatures w14:val="none"/>
        </w:rPr>
        <w:t xml:space="preserve"> treated surgically in our unit for a displaced Bennett’s fracture over a 4-year period. The study group was matched with a control group, each patient was matched for age, sex, hand dominance, laterality of injury, and Gedda grade of injury. At a minimum of 5-year follow up, patients were reviewed in the outpatient clinic and assessed for grip and pinch strength, pain scores and satisfaction. Patients complete</w:t>
      </w:r>
      <w:r w:rsidR="007923CD">
        <w:rPr>
          <w:rFonts w:cstheme="minorHAnsi"/>
          <w:kern w:val="0"/>
          <w14:ligatures w14:val="none"/>
        </w:rPr>
        <w:t>d</w:t>
      </w:r>
      <w:r w:rsidRPr="00891A6F">
        <w:rPr>
          <w:rFonts w:cstheme="minorHAnsi"/>
          <w:kern w:val="0"/>
          <w14:ligatures w14:val="none"/>
        </w:rPr>
        <w:t xml:space="preserve"> the brief Michigan Hand Questionnaire (</w:t>
      </w:r>
      <w:proofErr w:type="spellStart"/>
      <w:r w:rsidRPr="00891A6F">
        <w:rPr>
          <w:rFonts w:cstheme="minorHAnsi"/>
          <w:kern w:val="0"/>
          <w14:ligatures w14:val="none"/>
        </w:rPr>
        <w:t>bMHQ</w:t>
      </w:r>
      <w:proofErr w:type="spellEnd"/>
      <w:r w:rsidRPr="00891A6F">
        <w:rPr>
          <w:rFonts w:cstheme="minorHAnsi"/>
          <w:kern w:val="0"/>
          <w14:ligatures w14:val="none"/>
        </w:rPr>
        <w:t xml:space="preserve">) and Disability of the Arm, </w:t>
      </w:r>
      <w:proofErr w:type="gramStart"/>
      <w:r w:rsidRPr="00891A6F">
        <w:rPr>
          <w:rFonts w:cstheme="minorHAnsi"/>
          <w:kern w:val="0"/>
          <w14:ligatures w14:val="none"/>
        </w:rPr>
        <w:t>Shoulder</w:t>
      </w:r>
      <w:proofErr w:type="gramEnd"/>
      <w:r w:rsidRPr="00891A6F">
        <w:rPr>
          <w:rFonts w:cstheme="minorHAnsi"/>
          <w:kern w:val="0"/>
          <w14:ligatures w14:val="none"/>
        </w:rPr>
        <w:t xml:space="preserve"> and Hand (DASH) questionnaires.  </w:t>
      </w:r>
    </w:p>
    <w:p w14:paraId="5F2E196B" w14:textId="3E0B878D" w:rsidR="002E7684" w:rsidRPr="00891A6F" w:rsidRDefault="002E7684" w:rsidP="002E7684">
      <w:pPr>
        <w:spacing w:line="480" w:lineRule="auto"/>
        <w:jc w:val="both"/>
        <w:rPr>
          <w:rFonts w:cstheme="minorHAnsi"/>
        </w:rPr>
      </w:pPr>
      <w:r w:rsidRPr="00891A6F">
        <w:rPr>
          <w:rFonts w:cstheme="minorHAnsi"/>
        </w:rPr>
        <w:t xml:space="preserve">The average patient age was 39 years. Twelve patients in each cohort were female and 16 individuals injured their dominant hand. In each cohort there were 16 Grade 1 injuries, 4 Grade 2 injuries and 13 Grade 3 injuries. Patients in the operative cohort achieved significantly lower DASH scores at follow-up (p=0.026). Moreover, the surgical cohort had significantly higher satisfaction scores (p=0.038). There was no significant difference in observed radiological post-traumatic osteoarthritis between the cohorts (p=0.35). There was no significant difference between cohorts for mean grip strength (p=0.25) or mean pinch strength (p=0.31) in the injured hand. There were no significant differences between the injured and non-injured hand pinch and grip strength for both cohorts. There was no significant difference in pain scores (p=0.55). There was no significant difference in the </w:t>
      </w:r>
      <w:proofErr w:type="spellStart"/>
      <w:r w:rsidRPr="00891A6F">
        <w:rPr>
          <w:rFonts w:cstheme="minorHAnsi"/>
        </w:rPr>
        <w:t>bMHQ</w:t>
      </w:r>
      <w:proofErr w:type="spellEnd"/>
      <w:r w:rsidRPr="00891A6F">
        <w:rPr>
          <w:rFonts w:cstheme="minorHAnsi"/>
        </w:rPr>
        <w:t xml:space="preserve"> scores.</w:t>
      </w:r>
    </w:p>
    <w:p w14:paraId="0F28589D" w14:textId="14193F2B" w:rsidR="00891A6F" w:rsidRDefault="002E7684" w:rsidP="002E7684">
      <w:pPr>
        <w:spacing w:line="480" w:lineRule="auto"/>
        <w:jc w:val="both"/>
        <w:rPr>
          <w:rFonts w:cstheme="minorHAnsi"/>
        </w:rPr>
      </w:pPr>
      <w:r w:rsidRPr="00891A6F">
        <w:rPr>
          <w:rFonts w:cstheme="minorHAnsi"/>
          <w:kern w:val="0"/>
          <w14:ligatures w14:val="none"/>
        </w:rPr>
        <w:t xml:space="preserve">Overall, there is limited evidence of the benefit for surgical fixation over conservative management for these fractures regardless of Gedda grade, however the surgical cohort </w:t>
      </w:r>
      <w:r w:rsidR="007923CD">
        <w:rPr>
          <w:rFonts w:cstheme="minorHAnsi"/>
          <w:kern w:val="0"/>
          <w14:ligatures w14:val="none"/>
        </w:rPr>
        <w:t>had</w:t>
      </w:r>
      <w:r w:rsidRPr="00891A6F">
        <w:rPr>
          <w:rFonts w:cstheme="minorHAnsi"/>
          <w:kern w:val="0"/>
          <w14:ligatures w14:val="none"/>
        </w:rPr>
        <w:t xml:space="preserve"> better DASH scores and patient satisfaction at 5-year follow up.</w:t>
      </w:r>
      <w:r w:rsidR="00C37DBC" w:rsidRPr="00891A6F">
        <w:rPr>
          <w:rFonts w:cstheme="minorHAnsi"/>
        </w:rPr>
        <w:t xml:space="preserve"> </w:t>
      </w:r>
    </w:p>
    <w:p w14:paraId="17E69BD6" w14:textId="356F6FFF" w:rsidR="00D603B0" w:rsidRPr="00891A6F" w:rsidRDefault="00D603B0" w:rsidP="002E7684">
      <w:pPr>
        <w:spacing w:line="480" w:lineRule="auto"/>
        <w:jc w:val="both"/>
        <w:rPr>
          <w:rFonts w:cstheme="minorHAnsi"/>
          <w:u w:val="single"/>
        </w:rPr>
      </w:pPr>
      <w:r w:rsidRPr="00891A6F">
        <w:rPr>
          <w:rFonts w:cstheme="minorHAnsi"/>
          <w:u w:val="single"/>
        </w:rPr>
        <w:t>Correspondence</w:t>
      </w:r>
    </w:p>
    <w:p w14:paraId="7E7C5B40" w14:textId="060C6334" w:rsidR="00D603B0" w:rsidRPr="00891A6F" w:rsidRDefault="00D603B0" w:rsidP="002E7684">
      <w:pPr>
        <w:spacing w:line="480" w:lineRule="auto"/>
        <w:jc w:val="both"/>
        <w:rPr>
          <w:rFonts w:cstheme="minorHAnsi"/>
        </w:rPr>
      </w:pPr>
      <w:r w:rsidRPr="00891A6F">
        <w:rPr>
          <w:rFonts w:cstheme="minorHAnsi"/>
        </w:rPr>
        <w:lastRenderedPageBreak/>
        <w:t>Presenting author: J. Francis</w:t>
      </w:r>
    </w:p>
    <w:p w14:paraId="3EB54173" w14:textId="4C6B262E" w:rsidR="00D603B0" w:rsidRPr="00891A6F" w:rsidRDefault="00D603B0" w:rsidP="002E7684">
      <w:pPr>
        <w:spacing w:line="480" w:lineRule="auto"/>
        <w:jc w:val="both"/>
        <w:rPr>
          <w:rFonts w:cstheme="minorHAnsi"/>
        </w:rPr>
      </w:pPr>
      <w:r w:rsidRPr="00891A6F">
        <w:rPr>
          <w:rFonts w:cstheme="minorHAnsi"/>
        </w:rPr>
        <w:t xml:space="preserve">Co-authors: J. Battle; R. </w:t>
      </w:r>
      <w:proofErr w:type="spellStart"/>
      <w:r w:rsidRPr="00891A6F">
        <w:rPr>
          <w:rFonts w:cstheme="minorHAnsi"/>
        </w:rPr>
        <w:t>Anakwe</w:t>
      </w:r>
      <w:proofErr w:type="spellEnd"/>
    </w:p>
    <w:p w14:paraId="714977C1" w14:textId="7E64F255" w:rsidR="00D603B0" w:rsidRPr="00891A6F" w:rsidRDefault="00D603B0" w:rsidP="002E7684">
      <w:pPr>
        <w:spacing w:line="480" w:lineRule="auto"/>
        <w:jc w:val="both"/>
        <w:rPr>
          <w:rFonts w:cstheme="minorHAnsi"/>
        </w:rPr>
      </w:pPr>
      <w:r w:rsidRPr="00891A6F">
        <w:rPr>
          <w:rFonts w:cstheme="minorHAnsi"/>
        </w:rPr>
        <w:t xml:space="preserve">Affiliation details: </w:t>
      </w:r>
      <w:r w:rsidR="00891A6F" w:rsidRPr="00891A6F">
        <w:rPr>
          <w:rFonts w:cstheme="minorHAnsi"/>
        </w:rPr>
        <w:t>Department of Trauma &amp; Orthopaedics, St Mary’s Hospital, Imperial College Healthcare Trust, London, England</w:t>
      </w:r>
    </w:p>
    <w:p w14:paraId="68F4E019" w14:textId="77777777" w:rsidR="00891A6F" w:rsidRPr="00891A6F" w:rsidRDefault="00891A6F">
      <w:pPr>
        <w:spacing w:line="480" w:lineRule="auto"/>
        <w:jc w:val="both"/>
        <w:rPr>
          <w:rFonts w:cstheme="minorHAnsi"/>
        </w:rPr>
      </w:pPr>
    </w:p>
    <w:sectPr w:rsidR="00891A6F" w:rsidRPr="00891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72"/>
    <w:rsid w:val="002E7684"/>
    <w:rsid w:val="003F006C"/>
    <w:rsid w:val="007923CD"/>
    <w:rsid w:val="007E4672"/>
    <w:rsid w:val="00855ECF"/>
    <w:rsid w:val="00891A6F"/>
    <w:rsid w:val="009E721A"/>
    <w:rsid w:val="00C37DBC"/>
    <w:rsid w:val="00CF7158"/>
    <w:rsid w:val="00D603B0"/>
    <w:rsid w:val="00D6667F"/>
    <w:rsid w:val="00D7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A1AD8"/>
  <w15:docId w15:val="{10973C90-BC94-409F-942A-C3955408D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0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D603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3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Battle</dc:creator>
  <cp:keywords/>
  <dc:description/>
  <cp:lastModifiedBy>Jonny Francis</cp:lastModifiedBy>
  <cp:revision>5</cp:revision>
  <dcterms:created xsi:type="dcterms:W3CDTF">2023-08-10T09:22:00Z</dcterms:created>
  <dcterms:modified xsi:type="dcterms:W3CDTF">2023-08-10T09:33:00Z</dcterms:modified>
</cp:coreProperties>
</file>