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170" w:after="0" w:line="400"/>
        <w:ind w:right="0" w:left="0" w:firstLine="0"/>
        <w:jc w:val="left"/>
        <w:rPr>
          <w:rFonts w:ascii="Minion Pro" w:hAnsi="Minion Pro" w:cs="Minion Pro" w:eastAsia="Minion Pro"/>
          <w:b/>
          <w:color w:val="auto"/>
          <w:spacing w:val="0"/>
          <w:position w:val="0"/>
          <w:sz w:val="36"/>
          <w:shd w:fill="auto" w:val="clear"/>
        </w:rPr>
      </w:pPr>
      <w:r>
        <w:rPr>
          <w:rFonts w:ascii="Minion Pro" w:hAnsi="Minion Pro" w:cs="Minion Pro" w:eastAsia="Minion Pro"/>
          <w:b/>
          <w:color w:val="337AB7"/>
          <w:spacing w:val="0"/>
          <w:position w:val="0"/>
          <w:sz w:val="36"/>
          <w:shd w:fill="auto" w:val="clear"/>
        </w:rPr>
        <w:t xml:space="preserve">An analysis of laparoscopic partial fundoplication for GORD in a London hospital</w:t>
      </w:r>
    </w:p>
    <w:p>
      <w:pPr>
        <w:spacing w:before="73" w:after="0" w:line="240"/>
        <w:ind w:right="5987" w:left="100" w:firstLine="0"/>
        <w:jc w:val="left"/>
        <w:rPr>
          <w:rFonts w:ascii="Arial" w:hAnsi="Arial" w:cs="Arial" w:eastAsia="Arial"/>
          <w:color w:val="auto"/>
          <w:spacing w:val="0"/>
          <w:position w:val="0"/>
          <w:sz w:val="18"/>
          <w:shd w:fill="auto" w:val="clear"/>
        </w:rPr>
      </w:pPr>
      <w:r>
        <w:rPr>
          <w:rFonts w:ascii="Arial" w:hAnsi="Arial" w:cs="Arial" w:eastAsia="Arial"/>
          <w:color w:val="auto"/>
          <w:spacing w:val="0"/>
          <w:position w:val="0"/>
          <w:sz w:val="18"/>
          <w:shd w:fill="auto" w:val="clear"/>
        </w:rPr>
        <w:t xml:space="preserve">Dr Rena Al-Zubaidy</w:t>
      </w:r>
    </w:p>
    <w:p>
      <w:pPr>
        <w:spacing w:before="73" w:after="0" w:line="240"/>
        <w:ind w:right="5987" w:left="100" w:firstLine="0"/>
        <w:jc w:val="left"/>
        <w:rPr>
          <w:rFonts w:ascii="Arial" w:hAnsi="Arial" w:cs="Arial" w:eastAsia="Arial"/>
          <w:color w:val="auto"/>
          <w:spacing w:val="0"/>
          <w:position w:val="0"/>
          <w:sz w:val="18"/>
          <w:shd w:fill="auto" w:val="clear"/>
        </w:rPr>
      </w:pPr>
      <w:r>
        <w:rPr>
          <w:rFonts w:ascii="Arial" w:hAnsi="Arial" w:cs="Arial" w:eastAsia="Arial"/>
          <w:color w:val="auto"/>
          <w:spacing w:val="0"/>
          <w:position w:val="0"/>
          <w:sz w:val="18"/>
          <w:shd w:fill="auto" w:val="clear"/>
        </w:rPr>
        <w:t xml:space="preserve">Ealing Hosiptal </w:t>
      </w:r>
    </w:p>
    <w:p>
      <w:pPr>
        <w:spacing w:before="73" w:after="0" w:line="240"/>
        <w:ind w:right="5987" w:left="100" w:firstLine="0"/>
        <w:jc w:val="left"/>
        <w:rPr>
          <w:rFonts w:ascii="Arial" w:hAnsi="Arial" w:cs="Arial" w:eastAsia="Arial"/>
          <w:color w:val="auto"/>
          <w:spacing w:val="0"/>
          <w:position w:val="0"/>
          <w:sz w:val="18"/>
          <w:shd w:fill="auto" w:val="clear"/>
        </w:rPr>
      </w:pPr>
      <w:r>
        <w:rPr>
          <w:rFonts w:ascii="Arial" w:hAnsi="Arial" w:cs="Arial" w:eastAsia="Arial"/>
          <w:color w:val="auto"/>
          <w:spacing w:val="0"/>
          <w:position w:val="0"/>
          <w:sz w:val="18"/>
          <w:shd w:fill="auto" w:val="clear"/>
        </w:rPr>
        <w:t xml:space="preserve">Imperial College trust </w:t>
      </w:r>
    </w:p>
    <w:p>
      <w:pPr>
        <w:spacing w:before="0" w:after="0" w:line="240"/>
        <w:ind w:right="0" w:left="0" w:firstLine="0"/>
        <w:jc w:val="left"/>
        <w:rPr>
          <w:rFonts w:ascii="Arial" w:hAnsi="Arial" w:cs="Arial" w:eastAsia="Arial"/>
          <w:color w:val="auto"/>
          <w:spacing w:val="0"/>
          <w:position w:val="0"/>
          <w:sz w:val="20"/>
          <w:shd w:fill="auto" w:val="clear"/>
        </w:rPr>
      </w:pPr>
    </w:p>
    <w:p>
      <w:pPr>
        <w:spacing w:before="3" w:after="0" w:line="240"/>
        <w:ind w:right="0" w:left="0" w:firstLine="0"/>
        <w:jc w:val="left"/>
        <w:rPr>
          <w:rFonts w:ascii="Arial" w:hAnsi="Arial" w:cs="Arial" w:eastAsia="Arial"/>
          <w:color w:val="auto"/>
          <w:spacing w:val="0"/>
          <w:position w:val="0"/>
          <w:sz w:val="21"/>
          <w:shd w:fill="auto" w:val="clear"/>
        </w:rPr>
      </w:pPr>
    </w:p>
    <w:p>
      <w:pPr>
        <w:spacing w:before="0" w:after="0" w:line="240"/>
        <w:ind w:right="0" w:left="0" w:firstLine="0"/>
        <w:jc w:val="left"/>
        <w:rPr>
          <w:rFonts w:ascii="Arial" w:hAnsi="Arial" w:cs="Arial" w:eastAsia="Arial"/>
          <w:color w:val="auto"/>
          <w:spacing w:val="0"/>
          <w:position w:val="0"/>
          <w:sz w:val="21"/>
          <w:shd w:fill="auto" w:val="clear"/>
        </w:rPr>
      </w:pPr>
    </w:p>
    <w:p>
      <w:pPr>
        <w:spacing w:before="147" w:after="0" w:line="240"/>
        <w:ind w:right="0" w:left="100" w:firstLine="0"/>
        <w:jc w:val="both"/>
        <w:rPr>
          <w:rFonts w:ascii="Arial" w:hAnsi="Arial" w:cs="Arial" w:eastAsia="Arial"/>
          <w:b/>
          <w:color w:val="auto"/>
          <w:spacing w:val="0"/>
          <w:position w:val="0"/>
          <w:sz w:val="20"/>
          <w:shd w:fill="auto" w:val="clear"/>
        </w:rPr>
      </w:pPr>
      <w:r>
        <w:rPr>
          <w:rFonts w:ascii="Arial" w:hAnsi="Arial" w:cs="Arial" w:eastAsia="Arial"/>
          <w:b/>
          <w:color w:val="BF5A14"/>
          <w:spacing w:val="0"/>
          <w:position w:val="0"/>
          <w:sz w:val="20"/>
          <w:shd w:fill="auto" w:val="clear"/>
        </w:rPr>
        <w:t xml:space="preserve">Abstract (300 word limit)</w:t>
      </w:r>
    </w:p>
    <w:p>
      <w:pPr>
        <w:spacing w:before="90" w:after="0" w:line="280"/>
        <w:ind w:right="0" w:left="100" w:firstLine="0"/>
        <w:jc w:val="both"/>
        <w:rPr>
          <w:rFonts w:ascii="Tw Cen MT" w:hAnsi="Tw Cen MT" w:cs="Tw Cen MT" w:eastAsia="Tw Cen MT"/>
          <w:color w:val="auto"/>
          <w:spacing w:val="0"/>
          <w:position w:val="0"/>
          <w:sz w:val="18"/>
          <w:shd w:fill="auto" w:val="clear"/>
        </w:rPr>
      </w:pPr>
      <w:r>
        <w:rPr>
          <w:rFonts w:ascii="Arial" w:hAnsi="Arial" w:cs="Arial" w:eastAsia="Arial"/>
          <w:color w:val="auto"/>
          <w:spacing w:val="0"/>
          <w:position w:val="0"/>
          <w:sz w:val="18"/>
          <w:shd w:fill="auto" w:val="clear"/>
        </w:rPr>
        <w:t xml:space="preserve">. </w:t>
      </w:r>
    </w:p>
    <w:p>
      <w:pPr>
        <w:spacing w:before="74" w:after="0" w:line="240"/>
        <w:ind w:right="0" w:left="10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Introduction: </w:t>
      </w:r>
    </w:p>
    <w:p>
      <w:pPr>
        <w:spacing w:before="74" w:after="0" w:line="240"/>
        <w:ind w:right="0" w:left="10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Laparoscopic fundoplication is the prominent surgical option for management of GORD. Nissen fundoplication involves a 360-degree wrap, which is a popular operative approach. Although, there have been studies indicating partial wraps having betterfunctional outcomes. The aim of this study is to evaluate our hospital’s experience with partial laparoscopic fundoplication.</w:t>
      </w:r>
    </w:p>
    <w:p>
      <w:pPr>
        <w:spacing w:before="74" w:after="0" w:line="240"/>
        <w:ind w:right="0" w:left="10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Methods: </w:t>
      </w:r>
    </w:p>
    <w:p>
      <w:pPr>
        <w:spacing w:before="74" w:after="0" w:line="240"/>
        <w:ind w:right="0" w:left="10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A retrospective review of 54 anti-reflux surgeries performed from June 2016 until January 2022 was done. 9 patients were excluded from the study. The data collected included: patient demographics, presenting symptoms, types of wraps performed, and post-operative complications. These patients were followed up for an average of 9 months post-operatively.</w:t>
      </w:r>
    </w:p>
    <w:p>
      <w:pPr>
        <w:spacing w:before="74" w:after="0" w:line="240"/>
        <w:ind w:right="0" w:left="10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Results: </w:t>
      </w:r>
    </w:p>
    <w:p>
      <w:pPr>
        <w:spacing w:before="74" w:after="0" w:line="240"/>
        <w:ind w:right="0" w:left="10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The majority of patients were referred for symptoms of heartburn, epigastric pain and dyspepsia. 93% underwent a Watson repair and 7% had a Toupet. 45 patients had complete resolution of symptoms and 5 experienced post-operative morbidity, 3 of which were self-limiting. There was 1 patient mortality secondary to non-surgical causes.</w:t>
      </w:r>
    </w:p>
    <w:p>
      <w:pPr>
        <w:spacing w:before="74" w:after="0" w:line="240"/>
        <w:ind w:right="0" w:left="10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Conclusion:</w:t>
      </w:r>
    </w:p>
    <w:p>
      <w:pPr>
        <w:spacing w:before="74" w:after="0" w:line="240"/>
        <w:ind w:right="0" w:left="10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Early success rates at our institution are encouraging, showing positive results from partial wraps. We would like to look at larger numbers going forward with longer follow up times to further support the outcomes of partial wraps for GORD.</w:t>
      </w:r>
    </w:p>
    <w:p>
      <w:pPr>
        <w:spacing w:before="74" w:after="0" w:line="240"/>
        <w:ind w:right="0" w:left="10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Key statement:</w:t>
      </w:r>
    </w:p>
    <w:p>
      <w:pPr>
        <w:spacing w:before="74" w:after="0" w:line="240"/>
        <w:ind w:right="0" w:left="10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83% of patients who underwent a laparoscopic partial fundoplication at our district general hospital had complete resolution of their symptoms. Our successful outcomes are also likely to be a result of appropriate patient selection.</w:t>
      </w:r>
    </w:p>
    <w:p>
      <w:pPr>
        <w:spacing w:before="74" w:after="0" w:line="240"/>
        <w:ind w:right="0" w:left="100" w:firstLine="0"/>
        <w:jc w:val="left"/>
        <w:rPr>
          <w:rFonts w:ascii="Arial" w:hAnsi="Arial" w:cs="Arial" w:eastAsia="Arial"/>
          <w:color w:val="auto"/>
          <w:spacing w:val="0"/>
          <w:position w:val="0"/>
          <w:sz w:val="20"/>
          <w:shd w:fill="auto" w:val="clear"/>
        </w:rPr>
      </w:pPr>
    </w:p>
    <w:p>
      <w:pPr>
        <w:spacing w:before="74" w:after="0" w:line="240"/>
        <w:ind w:right="0" w:left="100" w:firstLine="0"/>
        <w:jc w:val="left"/>
        <w:rPr>
          <w:rFonts w:ascii="Tw Cen MT" w:hAnsi="Tw Cen MT" w:cs="Tw Cen MT" w:eastAsia="Tw Cen MT"/>
          <w:color w:val="auto"/>
          <w:spacing w:val="0"/>
          <w:position w:val="0"/>
          <w:sz w:val="22"/>
          <w:shd w:fill="auto" w:val="clear"/>
        </w:rPr>
      </w:pPr>
    </w:p>
    <w:p>
      <w:pPr>
        <w:spacing w:before="2"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2" w:after="0" w:line="240"/>
        <w:ind w:right="0" w:left="0" w:firstLine="0"/>
        <w:jc w:val="left"/>
        <w:rPr>
          <w:rFonts w:ascii="Arial" w:hAnsi="Arial" w:cs="Arial" w:eastAsia="Arial"/>
          <w:color w:val="auto"/>
          <w:spacing w:val="0"/>
          <w:position w:val="0"/>
          <w:sz w:val="19"/>
          <w:shd w:fill="auto" w:val="clear"/>
        </w:rPr>
      </w:pPr>
      <w:r>
        <w:rPr>
          <w:rFonts w:ascii="Arial" w:hAnsi="Arial" w:cs="Arial" w:eastAsia="Arial"/>
          <w:color w:val="auto"/>
          <w:spacing w:val="0"/>
          <w:position w:val="0"/>
          <w:sz w:val="14"/>
          <w:shd w:fill="auto" w:val="clear"/>
        </w:rPr>
        <w:t xml:space="preserve">Email: Rena.al-zubaidy@nhs.net</w:t>
      </w:r>
    </w:p>
    <w:p>
      <w:pPr>
        <w:spacing w:before="0" w:after="0" w:line="240"/>
        <w:ind w:right="0" w:left="0" w:firstLine="0"/>
        <w:jc w:val="left"/>
        <w:rPr>
          <w:rFonts w:ascii="Arial" w:hAnsi="Arial" w:cs="Arial" w:eastAsia="Arial"/>
          <w:color w:val="auto"/>
          <w:spacing w:val="0"/>
          <w:position w:val="0"/>
          <w:sz w:val="20"/>
          <w:shd w:fill="auto" w:val="clear"/>
        </w:rPr>
      </w:pPr>
    </w:p>
    <w:p>
      <w:pPr>
        <w:spacing w:before="0" w:after="0" w:line="240"/>
        <w:ind w:right="0" w:left="0" w:firstLine="0"/>
        <w:jc w:val="left"/>
        <w:rPr>
          <w:rFonts w:ascii="Arial" w:hAnsi="Arial" w:cs="Arial" w:eastAsia="Arial"/>
          <w:color w:val="auto"/>
          <w:spacing w:val="0"/>
          <w:position w:val="0"/>
          <w:sz w:val="20"/>
          <w:shd w:fill="auto" w:val="clear"/>
        </w:rPr>
      </w:pPr>
    </w:p>
    <w:p>
      <w:pPr>
        <w:spacing w:before="39" w:after="0" w:line="240"/>
        <w:ind w:right="0" w:left="100" w:firstLine="0"/>
        <w:jc w:val="left"/>
        <w:rPr>
          <w:rFonts w:ascii="Minion Pro" w:hAnsi="Minion Pro" w:cs="Minion Pro" w:eastAsia="Minion Pro"/>
          <w:b/>
          <w:color w:val="auto"/>
          <w:spacing w:val="0"/>
          <w:position w:val="0"/>
          <w:sz w:val="20"/>
          <w:shd w:fill="auto" w:val="clear"/>
        </w:rPr>
      </w:pPr>
    </w:p>
    <w:p>
      <w:pPr>
        <w:spacing w:before="0" w:after="0" w:line="240"/>
        <w:ind w:right="0" w:left="0" w:firstLine="0"/>
        <w:jc w:val="left"/>
        <w:rPr>
          <w:rFonts w:ascii="Minion Pro" w:hAnsi="Minion Pro" w:cs="Minion Pro" w:eastAsia="Minion Pro"/>
          <w:color w:val="auto"/>
          <w:spacing w:val="0"/>
          <w:position w:val="0"/>
          <w:sz w:val="24"/>
          <w:shd w:fill="auto" w:val="clear"/>
        </w:rPr>
      </w:pPr>
    </w:p>
    <w:p>
      <w:pPr>
        <w:spacing w:before="3" w:after="0" w:line="240"/>
        <w:ind w:right="0" w:left="0" w:firstLine="0"/>
        <w:jc w:val="left"/>
        <w:rPr>
          <w:rFonts w:ascii="Minion Pro" w:hAnsi="Minion Pro" w:cs="Minion Pro" w:eastAsia="Minion Pro"/>
          <w:color w:val="auto"/>
          <w:spacing w:val="0"/>
          <w:position w:val="0"/>
          <w:sz w:val="26"/>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