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Routine cervical spine immobilisation is unnecessary in patients with isolated cerebral gunshot wounds: a South African experience </w:t>
      </w:r>
    </w:p>
    <w:p w:rsidR="00000000" w:rsidDel="00000000" w:rsidP="00000000" w:rsidRDefault="00000000" w:rsidRPr="00000000" w14:paraId="0000000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3">
      <w:pPr>
        <w:spacing w:line="360" w:lineRule="auto"/>
        <w:jc w:val="both"/>
        <w:rPr>
          <w:rFonts w:ascii="Arial" w:cs="Arial" w:eastAsia="Arial" w:hAnsi="Arial"/>
        </w:rPr>
      </w:pPr>
      <w:r w:rsidDel="00000000" w:rsidR="00000000" w:rsidRPr="00000000">
        <w:rPr>
          <w:rFonts w:ascii="Arial" w:cs="Arial" w:eastAsia="Arial" w:hAnsi="Arial"/>
          <w:rtl w:val="0"/>
        </w:rPr>
        <w:t xml:space="preserve">Introduction: Routine immobilisation of the cervical spine in trauma has been a long established practice.  In the context of TBI, rigid collar impairs jugular venous return and can exacerbate raised intracranial pressure (ICP). In addition, it can create difficulties in endotracheal intubation, which further increases the risk of hypoxia, all of which are detrimental to the already injured brain. The aim of this study was to review our own experience of patients with a form of penetrating TBI namely isolated cerebral GSWs in order to determine the incidence of concomitant CSI. </w:t>
      </w:r>
    </w:p>
    <w:p w:rsidR="00000000" w:rsidDel="00000000" w:rsidP="00000000" w:rsidRDefault="00000000" w:rsidRPr="00000000" w14:paraId="00000004">
      <w:pPr>
        <w:spacing w:line="360" w:lineRule="auto"/>
        <w:jc w:val="both"/>
        <w:rPr>
          <w:rFonts w:ascii="Arial" w:cs="Arial" w:eastAsia="Arial" w:hAnsi="Arial"/>
        </w:rPr>
      </w:pPr>
      <w:r w:rsidDel="00000000" w:rsidR="00000000" w:rsidRPr="00000000">
        <w:rPr>
          <w:rFonts w:ascii="Arial" w:cs="Arial" w:eastAsia="Arial" w:hAnsi="Arial"/>
          <w:rtl w:val="0"/>
        </w:rPr>
        <w:t xml:space="preserve">Materials and Methods: A retrospective study over a five-year period (January 2010 to December 2014) was undertaken at the Pietermaritzburg Metropolitan Trauma Service (PMTS), Pietermaritzburg, South Africa. Results: During the five-year study period, 102 patients were included. Twenty-seven (26%) patients had cervical collar placed by the EMS. The remaining patients 75 patients had their cervical collar placed in the resuscitation room. Fifty-five (54%) had a GCS 15 and underwent plain radiography, all of which were normal. Clearance of cervical spine based on normal radiography combined with clinical findings was achieved in all 55 (100%) patients. The remaining 47 patients whose GCS was &lt; 15 all underwent a CT scan of the cervical spine on the same occasion as the CT brain. All 47 CT cervical spine were normal and there was no detectable bone or soft tissue injury noted on any of the reports. Conclusions: Patients who sustained isolated cerebral gunshot wounds were highly unlikely to sustain concomitant CSI. Routine cervical spine immobilisation is unnecessary. 98% of injuries in this series were low velocity, and so more research is needed if the same practice can be applied to high velocity injuries.  </w:t>
      </w:r>
    </w:p>
    <w:p w:rsidR="00000000" w:rsidDel="00000000" w:rsidP="00000000" w:rsidRDefault="00000000" w:rsidRPr="00000000" w14:paraId="00000005">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w:t>
      </w:r>
    </w:p>
    <w:p w:rsidR="00000000" w:rsidDel="00000000" w:rsidP="00000000" w:rsidRDefault="00000000" w:rsidRPr="00000000" w14:paraId="00000006">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Author: </w:t>
      </w:r>
    </w:p>
    <w:p w:rsidR="00000000" w:rsidDel="00000000" w:rsidP="00000000" w:rsidRDefault="00000000" w:rsidRPr="00000000" w14:paraId="00000007">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Mr Ross Weale, MRCS, MBBS, BSc</w:t>
      </w:r>
    </w:p>
    <w:p w:rsidR="00000000" w:rsidDel="00000000" w:rsidP="00000000" w:rsidRDefault="00000000" w:rsidRPr="00000000" w14:paraId="00000008">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Trainee in Plastic Surgery, St Thomas’s Hospital, London, United Kingdom </w:t>
      </w:r>
    </w:p>
    <w:p w:rsidR="00000000" w:rsidDel="00000000" w:rsidP="00000000" w:rsidRDefault="00000000" w:rsidRPr="00000000" w14:paraId="00000009">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0A">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0B">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0C">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0D">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0E">
      <w:pPr>
        <w:spacing w:line="360" w:lineRule="auto"/>
        <w:jc w:val="both"/>
        <w:rPr>
          <w:rFonts w:ascii="Arial" w:cs="Arial" w:eastAsia="Arial" w:hAnsi="Arial"/>
          <w:color w:val="000000"/>
        </w:rPr>
      </w:pPr>
      <w:r w:rsidDel="00000000" w:rsidR="00000000" w:rsidRPr="00000000">
        <w:rPr>
          <w:rtl w:val="0"/>
        </w:rPr>
      </w:r>
    </w:p>
    <w:sectPr>
      <w:footerReference r:id="rId6" w:type="default"/>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