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F9B58" w14:textId="77777777" w:rsidR="00E6039C" w:rsidRPr="00E6039C" w:rsidRDefault="00E6039C" w:rsidP="00E6039C">
      <w:pPr>
        <w:pStyle w:val="Rubrik1"/>
        <w:rPr>
          <w:color w:val="4F81BD" w:themeColor="accent1"/>
        </w:rPr>
      </w:pPr>
      <w:r w:rsidRPr="00E6039C">
        <w:rPr>
          <w:color w:val="4F81BD" w:themeColor="accent1"/>
        </w:rPr>
        <w:t>10 Year follow-up of lung transplantations using initially rejected donor lungs after reconditioning using ex vivo lung perfusion</w:t>
      </w:r>
    </w:p>
    <w:p w14:paraId="3944677F" w14:textId="36230058" w:rsidR="0078738A" w:rsidRPr="00E6039C" w:rsidRDefault="0078738A" w:rsidP="005973B9">
      <w:pPr>
        <w:pStyle w:val="Brdtext"/>
        <w:spacing w:before="73" w:line="198" w:lineRule="exact"/>
        <w:ind w:left="100" w:right="5987"/>
        <w:rPr>
          <w:rFonts w:ascii="Arial"/>
        </w:rPr>
      </w:pPr>
      <w:r w:rsidRPr="00E6039C">
        <w:rPr>
          <w:rFonts w:ascii="Arial"/>
        </w:rPr>
        <w:t xml:space="preserve">Dr </w:t>
      </w:r>
      <w:r w:rsidR="00E6039C" w:rsidRPr="00E6039C">
        <w:rPr>
          <w:rFonts w:ascii="Arial"/>
        </w:rPr>
        <w:t>Sandra Lindstedt</w:t>
      </w:r>
      <w:r w:rsidR="005973B9" w:rsidRPr="00E6039C">
        <w:rPr>
          <w:rFonts w:ascii="Arial"/>
        </w:rPr>
        <w:t xml:space="preserve">, </w:t>
      </w:r>
      <w:r w:rsidR="00E6039C" w:rsidRPr="00E6039C">
        <w:rPr>
          <w:rFonts w:ascii="Arial"/>
        </w:rPr>
        <w:t>MD,</w:t>
      </w:r>
      <w:r w:rsidR="005973B9" w:rsidRPr="00E6039C">
        <w:rPr>
          <w:rFonts w:ascii="Arial"/>
        </w:rPr>
        <w:t xml:space="preserve"> PhD, </w:t>
      </w:r>
      <w:r w:rsidR="00E6039C" w:rsidRPr="00E6039C">
        <w:rPr>
          <w:rFonts w:ascii="Arial"/>
        </w:rPr>
        <w:t>Dept. of Cardiothoracic Surgery, Lund University, Sweden</w:t>
      </w:r>
    </w:p>
    <w:p w14:paraId="0023AD8D" w14:textId="77777777" w:rsidR="00AE3E37" w:rsidRDefault="00AE3E37">
      <w:pPr>
        <w:pStyle w:val="Brdtext"/>
        <w:rPr>
          <w:rFonts w:ascii="Arial"/>
          <w:sz w:val="20"/>
        </w:rPr>
      </w:pPr>
    </w:p>
    <w:p w14:paraId="73C59AD0" w14:textId="77777777" w:rsidR="00AE3E37" w:rsidRDefault="00AE3E37">
      <w:pPr>
        <w:pStyle w:val="Brdtext"/>
        <w:spacing w:before="3"/>
        <w:rPr>
          <w:rFonts w:ascii="Arial"/>
          <w:sz w:val="21"/>
        </w:rPr>
      </w:pPr>
    </w:p>
    <w:p w14:paraId="7ED11E4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783E75B" w14:textId="650707F7" w:rsidR="00AE3E37" w:rsidRDefault="00A9710C">
      <w:pPr>
        <w:pStyle w:val="Rubrik3"/>
        <w:spacing w:before="147"/>
        <w:jc w:val="both"/>
      </w:pPr>
      <w:r>
        <w:rPr>
          <w:color w:val="BF5A14"/>
        </w:rPr>
        <w:t>Abstract</w:t>
      </w:r>
      <w:r w:rsidR="00404E5B">
        <w:rPr>
          <w:color w:val="BF5A14"/>
        </w:rPr>
        <w:t xml:space="preserve"> </w:t>
      </w:r>
    </w:p>
    <w:p w14:paraId="70A79D05" w14:textId="77777777" w:rsidR="00E6039C" w:rsidRPr="00E6039C" w:rsidRDefault="00E6039C" w:rsidP="00E6039C">
      <w:pPr>
        <w:pStyle w:val="Rubrik3"/>
        <w:spacing w:before="74"/>
        <w:rPr>
          <w:rFonts w:ascii="Tw Cen MT" w:eastAsia="Tw Cen MT" w:hAnsi="Tw Cen MT" w:cs="Tw Cen MT"/>
          <w:b w:val="0"/>
          <w:bCs w:val="0"/>
          <w:sz w:val="18"/>
          <w:szCs w:val="18"/>
        </w:rPr>
      </w:pPr>
      <w:r w:rsidRPr="00E6039C">
        <w:rPr>
          <w:rFonts w:ascii="Tw Cen MT" w:eastAsia="Tw Cen MT" w:hAnsi="Tw Cen MT" w:cs="Tw Cen MT"/>
          <w:b w:val="0"/>
          <w:bCs w:val="0"/>
          <w:sz w:val="18"/>
          <w:szCs w:val="18"/>
        </w:rPr>
        <w:t xml:space="preserve">In 2006 and 2007 we performed double lung transplantation with marginal donor lungs assessed and reconditioned by Ex Vivo Lung Perfusion (EVLP), using a technique developed by Professor </w:t>
      </w:r>
      <w:proofErr w:type="spellStart"/>
      <w:r w:rsidRPr="00E6039C">
        <w:rPr>
          <w:rFonts w:ascii="Tw Cen MT" w:eastAsia="Tw Cen MT" w:hAnsi="Tw Cen MT" w:cs="Tw Cen MT"/>
          <w:b w:val="0"/>
          <w:bCs w:val="0"/>
          <w:sz w:val="18"/>
          <w:szCs w:val="18"/>
        </w:rPr>
        <w:t>Stig</w:t>
      </w:r>
      <w:proofErr w:type="spellEnd"/>
      <w:r w:rsidRPr="00E6039C">
        <w:rPr>
          <w:rFonts w:ascii="Tw Cen MT" w:eastAsia="Tw Cen MT" w:hAnsi="Tw Cen MT" w:cs="Tw Cen MT"/>
          <w:b w:val="0"/>
          <w:bCs w:val="0"/>
          <w:sz w:val="18"/>
          <w:szCs w:val="18"/>
        </w:rPr>
        <w:t xml:space="preserve"> Steen. Here we present a 10-year follow-up comparing the outcomes of lung transplantations performed at our clinic using EVLP lungs vs. conventional lungs.</w:t>
      </w:r>
    </w:p>
    <w:p w14:paraId="693FAE01" w14:textId="77777777" w:rsidR="00E6039C" w:rsidRPr="00E6039C" w:rsidRDefault="00E6039C" w:rsidP="00E6039C">
      <w:pPr>
        <w:pStyle w:val="Rubrik3"/>
        <w:spacing w:before="74"/>
        <w:rPr>
          <w:rFonts w:ascii="Tw Cen MT" w:eastAsia="Tw Cen MT" w:hAnsi="Tw Cen MT" w:cs="Tw Cen MT"/>
          <w:b w:val="0"/>
          <w:bCs w:val="0"/>
          <w:sz w:val="18"/>
          <w:szCs w:val="18"/>
        </w:rPr>
      </w:pPr>
      <w:r w:rsidRPr="00E6039C">
        <w:rPr>
          <w:rFonts w:ascii="Tw Cen MT" w:eastAsia="Tw Cen MT" w:hAnsi="Tw Cen MT" w:cs="Tw Cen MT"/>
          <w:b w:val="0"/>
          <w:bCs w:val="0"/>
          <w:sz w:val="18"/>
          <w:szCs w:val="18"/>
        </w:rPr>
        <w:t xml:space="preserve">Method </w:t>
      </w:r>
    </w:p>
    <w:p w14:paraId="4B035539" w14:textId="77777777" w:rsidR="00E6039C" w:rsidRPr="00E6039C" w:rsidRDefault="00E6039C" w:rsidP="00E6039C">
      <w:pPr>
        <w:pStyle w:val="Rubrik3"/>
        <w:spacing w:before="74"/>
        <w:rPr>
          <w:rFonts w:ascii="Tw Cen MT" w:eastAsia="Tw Cen MT" w:hAnsi="Tw Cen MT" w:cs="Tw Cen MT"/>
          <w:b w:val="0"/>
          <w:bCs w:val="0"/>
          <w:sz w:val="18"/>
          <w:szCs w:val="18"/>
        </w:rPr>
      </w:pPr>
      <w:r w:rsidRPr="00E6039C">
        <w:rPr>
          <w:rFonts w:ascii="Tw Cen MT" w:eastAsia="Tw Cen MT" w:hAnsi="Tw Cen MT" w:cs="Tw Cen MT"/>
          <w:b w:val="0"/>
          <w:bCs w:val="0"/>
          <w:sz w:val="18"/>
          <w:szCs w:val="18"/>
        </w:rPr>
        <w:t>Between 2006 - 2007, 21 patients (6 EVLP, 15 conventional) underwent double lung transplantation (</w:t>
      </w:r>
      <w:proofErr w:type="spellStart"/>
      <w:r w:rsidRPr="00E6039C">
        <w:rPr>
          <w:rFonts w:ascii="Tw Cen MT" w:eastAsia="Tw Cen MT" w:hAnsi="Tw Cen MT" w:cs="Tw Cen MT"/>
          <w:b w:val="0"/>
          <w:bCs w:val="0"/>
          <w:sz w:val="18"/>
          <w:szCs w:val="18"/>
        </w:rPr>
        <w:t>LTx</w:t>
      </w:r>
      <w:proofErr w:type="spellEnd"/>
      <w:r w:rsidRPr="00E6039C">
        <w:rPr>
          <w:rFonts w:ascii="Tw Cen MT" w:eastAsia="Tw Cen MT" w:hAnsi="Tw Cen MT" w:cs="Tw Cen MT"/>
          <w:b w:val="0"/>
          <w:bCs w:val="0"/>
          <w:sz w:val="18"/>
          <w:szCs w:val="18"/>
        </w:rPr>
        <w:t xml:space="preserve">) with follow-up on May 2017 at Lund University Hospital, Sweden. Pulmonary function was measured at 3/6/12 months, and annually thereafter for a period of 10 years in addition to survival and freedom from chronic lung allograft dysfunction (CLAD) being analyzed. </w:t>
      </w:r>
    </w:p>
    <w:p w14:paraId="59E94505" w14:textId="77777777" w:rsidR="00E6039C" w:rsidRPr="00E6039C" w:rsidRDefault="00E6039C" w:rsidP="00E6039C">
      <w:pPr>
        <w:pStyle w:val="Rubrik3"/>
        <w:spacing w:before="74"/>
        <w:rPr>
          <w:rFonts w:ascii="Tw Cen MT" w:eastAsia="Tw Cen MT" w:hAnsi="Tw Cen MT" w:cs="Tw Cen MT"/>
          <w:b w:val="0"/>
          <w:bCs w:val="0"/>
          <w:sz w:val="18"/>
          <w:szCs w:val="18"/>
        </w:rPr>
      </w:pPr>
      <w:r w:rsidRPr="00E6039C">
        <w:rPr>
          <w:rFonts w:ascii="Tw Cen MT" w:eastAsia="Tw Cen MT" w:hAnsi="Tw Cen MT" w:cs="Tw Cen MT"/>
          <w:b w:val="0"/>
          <w:bCs w:val="0"/>
          <w:sz w:val="18"/>
          <w:szCs w:val="18"/>
        </w:rPr>
        <w:t>Results</w:t>
      </w:r>
    </w:p>
    <w:p w14:paraId="6509BE6F" w14:textId="77777777" w:rsidR="00E6039C" w:rsidRPr="00E6039C" w:rsidRDefault="00E6039C" w:rsidP="00E6039C">
      <w:pPr>
        <w:pStyle w:val="Rubrik3"/>
        <w:spacing w:before="74"/>
        <w:rPr>
          <w:rFonts w:ascii="Tw Cen MT" w:eastAsia="Tw Cen MT" w:hAnsi="Tw Cen MT" w:cs="Tw Cen MT"/>
          <w:b w:val="0"/>
          <w:bCs w:val="0"/>
          <w:sz w:val="18"/>
          <w:szCs w:val="18"/>
        </w:rPr>
      </w:pPr>
      <w:r w:rsidRPr="00E6039C">
        <w:rPr>
          <w:rFonts w:ascii="Tw Cen MT" w:eastAsia="Tw Cen MT" w:hAnsi="Tw Cen MT" w:cs="Tw Cen MT"/>
          <w:b w:val="0"/>
          <w:bCs w:val="0"/>
          <w:sz w:val="18"/>
          <w:szCs w:val="18"/>
        </w:rPr>
        <w:t>Regarding Forced Expiratory Volume in 1 sec (FEV1) and 6MWT at 3, 6, and 12 months and annually thereafter, no difference in median FEV1 nor 6MWT was found for EVLP-</w:t>
      </w:r>
      <w:proofErr w:type="spellStart"/>
      <w:r w:rsidRPr="00E6039C">
        <w:rPr>
          <w:rFonts w:ascii="Tw Cen MT" w:eastAsia="Tw Cen MT" w:hAnsi="Tw Cen MT" w:cs="Tw Cen MT"/>
          <w:b w:val="0"/>
          <w:bCs w:val="0"/>
          <w:sz w:val="18"/>
          <w:szCs w:val="18"/>
        </w:rPr>
        <w:t>LTx</w:t>
      </w:r>
      <w:proofErr w:type="spellEnd"/>
      <w:r w:rsidRPr="00E6039C">
        <w:rPr>
          <w:rFonts w:ascii="Tw Cen MT" w:eastAsia="Tw Cen MT" w:hAnsi="Tw Cen MT" w:cs="Tw Cen MT"/>
          <w:b w:val="0"/>
          <w:bCs w:val="0"/>
          <w:sz w:val="18"/>
          <w:szCs w:val="18"/>
        </w:rPr>
        <w:t xml:space="preserve"> vs. conventional-</w:t>
      </w:r>
      <w:proofErr w:type="spellStart"/>
      <w:r w:rsidRPr="00E6039C">
        <w:rPr>
          <w:rFonts w:ascii="Tw Cen MT" w:eastAsia="Tw Cen MT" w:hAnsi="Tw Cen MT" w:cs="Tw Cen MT"/>
          <w:b w:val="0"/>
          <w:bCs w:val="0"/>
          <w:sz w:val="18"/>
          <w:szCs w:val="18"/>
        </w:rPr>
        <w:t>LTx</w:t>
      </w:r>
      <w:proofErr w:type="spellEnd"/>
      <w:r w:rsidRPr="00E6039C">
        <w:rPr>
          <w:rFonts w:ascii="Tw Cen MT" w:eastAsia="Tw Cen MT" w:hAnsi="Tw Cen MT" w:cs="Tw Cen MT"/>
          <w:b w:val="0"/>
          <w:bCs w:val="0"/>
          <w:sz w:val="18"/>
          <w:szCs w:val="18"/>
        </w:rPr>
        <w:t xml:space="preserve"> (p &gt; 0.05). No difference was shown in post-operative survival between EVLP-</w:t>
      </w:r>
      <w:proofErr w:type="spellStart"/>
      <w:r w:rsidRPr="00E6039C">
        <w:rPr>
          <w:rFonts w:ascii="Tw Cen MT" w:eastAsia="Tw Cen MT" w:hAnsi="Tw Cen MT" w:cs="Tw Cen MT"/>
          <w:b w:val="0"/>
          <w:bCs w:val="0"/>
          <w:sz w:val="18"/>
          <w:szCs w:val="18"/>
        </w:rPr>
        <w:t>LTx</w:t>
      </w:r>
      <w:proofErr w:type="spellEnd"/>
      <w:r w:rsidRPr="00E6039C">
        <w:rPr>
          <w:rFonts w:ascii="Tw Cen MT" w:eastAsia="Tw Cen MT" w:hAnsi="Tw Cen MT" w:cs="Tw Cen MT"/>
          <w:b w:val="0"/>
          <w:bCs w:val="0"/>
          <w:sz w:val="18"/>
          <w:szCs w:val="18"/>
        </w:rPr>
        <w:t xml:space="preserve"> vs. conventional </w:t>
      </w:r>
      <w:proofErr w:type="spellStart"/>
      <w:r w:rsidRPr="00E6039C">
        <w:rPr>
          <w:rFonts w:ascii="Tw Cen MT" w:eastAsia="Tw Cen MT" w:hAnsi="Tw Cen MT" w:cs="Tw Cen MT"/>
          <w:b w:val="0"/>
          <w:bCs w:val="0"/>
          <w:sz w:val="18"/>
          <w:szCs w:val="18"/>
        </w:rPr>
        <w:t>LTx</w:t>
      </w:r>
      <w:proofErr w:type="spellEnd"/>
      <w:r w:rsidRPr="00E6039C">
        <w:rPr>
          <w:rFonts w:ascii="Tw Cen MT" w:eastAsia="Tw Cen MT" w:hAnsi="Tw Cen MT" w:cs="Tw Cen MT"/>
          <w:b w:val="0"/>
          <w:bCs w:val="0"/>
          <w:sz w:val="18"/>
          <w:szCs w:val="18"/>
        </w:rPr>
        <w:t xml:space="preserve"> for patients with an overall survival up to 10-years (p &gt; 0.05). The same pattern was shown in sub analyses for patients with a limited survival up to 1 and 5 years (p &gt; 0.05).</w:t>
      </w:r>
    </w:p>
    <w:p w14:paraId="41DB9E90" w14:textId="77777777" w:rsidR="00E6039C" w:rsidRPr="00E6039C" w:rsidRDefault="00E6039C" w:rsidP="00E6039C">
      <w:pPr>
        <w:pStyle w:val="Rubrik3"/>
        <w:spacing w:before="74"/>
        <w:rPr>
          <w:rFonts w:ascii="Tw Cen MT" w:eastAsia="Tw Cen MT" w:hAnsi="Tw Cen MT" w:cs="Tw Cen MT"/>
          <w:b w:val="0"/>
          <w:bCs w:val="0"/>
          <w:sz w:val="18"/>
          <w:szCs w:val="18"/>
        </w:rPr>
      </w:pPr>
      <w:r w:rsidRPr="00E6039C">
        <w:rPr>
          <w:rFonts w:ascii="Tw Cen MT" w:eastAsia="Tw Cen MT" w:hAnsi="Tw Cen MT" w:cs="Tw Cen MT"/>
          <w:b w:val="0"/>
          <w:bCs w:val="0"/>
          <w:sz w:val="18"/>
          <w:szCs w:val="18"/>
        </w:rPr>
        <w:t xml:space="preserve">Conclusion </w:t>
      </w:r>
    </w:p>
    <w:p w14:paraId="3FC05345" w14:textId="77777777" w:rsidR="00E6039C" w:rsidRDefault="00E6039C" w:rsidP="00E6039C">
      <w:pPr>
        <w:pStyle w:val="Rubrik3"/>
        <w:spacing w:before="74"/>
        <w:rPr>
          <w:rFonts w:ascii="Tw Cen MT" w:eastAsia="Tw Cen MT" w:hAnsi="Tw Cen MT" w:cs="Tw Cen MT"/>
          <w:b w:val="0"/>
          <w:bCs w:val="0"/>
          <w:sz w:val="18"/>
          <w:szCs w:val="18"/>
        </w:rPr>
      </w:pPr>
      <w:r w:rsidRPr="00E6039C">
        <w:rPr>
          <w:rFonts w:ascii="Tw Cen MT" w:eastAsia="Tw Cen MT" w:hAnsi="Tw Cen MT" w:cs="Tw Cen MT"/>
          <w:b w:val="0"/>
          <w:bCs w:val="0"/>
          <w:sz w:val="18"/>
          <w:szCs w:val="18"/>
        </w:rPr>
        <w:t>No superiority was found in conventional-</w:t>
      </w:r>
      <w:proofErr w:type="spellStart"/>
      <w:r w:rsidRPr="00E6039C">
        <w:rPr>
          <w:rFonts w:ascii="Tw Cen MT" w:eastAsia="Tw Cen MT" w:hAnsi="Tw Cen MT" w:cs="Tw Cen MT"/>
          <w:b w:val="0"/>
          <w:bCs w:val="0"/>
          <w:sz w:val="18"/>
          <w:szCs w:val="18"/>
        </w:rPr>
        <w:t>LTx</w:t>
      </w:r>
      <w:proofErr w:type="spellEnd"/>
      <w:r w:rsidRPr="00E6039C">
        <w:rPr>
          <w:rFonts w:ascii="Tw Cen MT" w:eastAsia="Tw Cen MT" w:hAnsi="Tw Cen MT" w:cs="Tw Cen MT"/>
          <w:b w:val="0"/>
          <w:bCs w:val="0"/>
          <w:sz w:val="18"/>
          <w:szCs w:val="18"/>
        </w:rPr>
        <w:t xml:space="preserve"> over EVLP-</w:t>
      </w:r>
      <w:proofErr w:type="spellStart"/>
      <w:r w:rsidRPr="00E6039C">
        <w:rPr>
          <w:rFonts w:ascii="Tw Cen MT" w:eastAsia="Tw Cen MT" w:hAnsi="Tw Cen MT" w:cs="Tw Cen MT"/>
          <w:b w:val="0"/>
          <w:bCs w:val="0"/>
          <w:sz w:val="18"/>
          <w:szCs w:val="18"/>
        </w:rPr>
        <w:t>LTx</w:t>
      </w:r>
      <w:proofErr w:type="spellEnd"/>
      <w:r w:rsidRPr="00E6039C">
        <w:rPr>
          <w:rFonts w:ascii="Tw Cen MT" w:eastAsia="Tw Cen MT" w:hAnsi="Tw Cen MT" w:cs="Tw Cen MT"/>
          <w:b w:val="0"/>
          <w:bCs w:val="0"/>
          <w:sz w:val="18"/>
          <w:szCs w:val="18"/>
        </w:rPr>
        <w:t xml:space="preserve">, neither in long-term survival nor pulmonary function. No difference in CLAD-free survival was seen between the two groups. We believe that EVLP is a safe and effective method to use in </w:t>
      </w:r>
      <w:proofErr w:type="spellStart"/>
      <w:r w:rsidRPr="00E6039C">
        <w:rPr>
          <w:rFonts w:ascii="Tw Cen MT" w:eastAsia="Tw Cen MT" w:hAnsi="Tw Cen MT" w:cs="Tw Cen MT"/>
          <w:b w:val="0"/>
          <w:bCs w:val="0"/>
          <w:sz w:val="18"/>
          <w:szCs w:val="18"/>
        </w:rPr>
        <w:t>LTx</w:t>
      </w:r>
      <w:proofErr w:type="spellEnd"/>
      <w:r w:rsidRPr="00E6039C">
        <w:rPr>
          <w:rFonts w:ascii="Tw Cen MT" w:eastAsia="Tw Cen MT" w:hAnsi="Tw Cen MT" w:cs="Tw Cen MT"/>
          <w:b w:val="0"/>
          <w:bCs w:val="0"/>
          <w:sz w:val="18"/>
          <w:szCs w:val="18"/>
        </w:rPr>
        <w:t>, greatly increasing the donor pool by improving marginal lungs and providing an objective assessment of the viability of marginal donor lungs. </w:t>
      </w:r>
    </w:p>
    <w:p w14:paraId="5B1B5B6D" w14:textId="77777777" w:rsidR="00E6039C" w:rsidRDefault="00E6039C" w:rsidP="00E6039C">
      <w:pPr>
        <w:pStyle w:val="Rubrik3"/>
        <w:spacing w:before="74"/>
        <w:rPr>
          <w:rFonts w:ascii="Tw Cen MT" w:eastAsia="Tw Cen MT" w:hAnsi="Tw Cen MT" w:cs="Tw Cen MT"/>
          <w:b w:val="0"/>
          <w:bCs w:val="0"/>
          <w:sz w:val="18"/>
          <w:szCs w:val="18"/>
        </w:rPr>
      </w:pPr>
    </w:p>
    <w:p w14:paraId="6D51D2B4" w14:textId="77777777" w:rsidR="00E6039C" w:rsidRDefault="00E6039C" w:rsidP="00E6039C">
      <w:pPr>
        <w:pStyle w:val="Rubrik3"/>
        <w:spacing w:before="74"/>
        <w:rPr>
          <w:rFonts w:ascii="Tw Cen MT" w:eastAsia="Tw Cen MT" w:hAnsi="Tw Cen MT" w:cs="Tw Cen MT"/>
          <w:b w:val="0"/>
          <w:bCs w:val="0"/>
          <w:sz w:val="18"/>
          <w:szCs w:val="18"/>
        </w:rPr>
      </w:pPr>
    </w:p>
    <w:p w14:paraId="534B8B83" w14:textId="77777777" w:rsidR="00E6039C" w:rsidRDefault="00E6039C" w:rsidP="00E6039C">
      <w:pPr>
        <w:pStyle w:val="Rubrik3"/>
        <w:spacing w:before="74"/>
        <w:rPr>
          <w:rFonts w:ascii="Tw Cen MT" w:eastAsia="Tw Cen MT" w:hAnsi="Tw Cen MT" w:cs="Tw Cen MT"/>
          <w:b w:val="0"/>
          <w:bCs w:val="0"/>
          <w:sz w:val="18"/>
          <w:szCs w:val="18"/>
        </w:rPr>
      </w:pPr>
    </w:p>
    <w:p w14:paraId="2C84F852" w14:textId="77777777" w:rsidR="00E6039C" w:rsidRDefault="00E6039C" w:rsidP="00E6039C">
      <w:pPr>
        <w:pStyle w:val="Rubrik3"/>
        <w:spacing w:before="74"/>
        <w:rPr>
          <w:rFonts w:ascii="Tw Cen MT" w:eastAsia="Tw Cen MT" w:hAnsi="Tw Cen MT" w:cs="Tw Cen MT"/>
          <w:b w:val="0"/>
          <w:bCs w:val="0"/>
          <w:sz w:val="18"/>
          <w:szCs w:val="18"/>
        </w:rPr>
      </w:pPr>
    </w:p>
    <w:p w14:paraId="33F86CBA" w14:textId="368712FC" w:rsidR="00AE3E37" w:rsidRDefault="00AE3E37" w:rsidP="00943ADF">
      <w:pPr>
        <w:pStyle w:val="Rubrik3"/>
        <w:spacing w:before="74"/>
        <w:ind w:left="0"/>
      </w:pPr>
    </w:p>
    <w:p w14:paraId="5C6FEC1E" w14:textId="212BF6CD" w:rsidR="00AE3E37" w:rsidRDefault="00943ADF">
      <w:pPr>
        <w:pStyle w:val="Brdtext"/>
        <w:spacing w:before="2"/>
        <w:rPr>
          <w:rFonts w:ascii="Arial"/>
          <w:b/>
          <w:sz w:val="16"/>
        </w:rPr>
      </w:pPr>
      <w:r>
        <w:rPr>
          <w:rFonts w:ascii="Arial"/>
          <w:b/>
          <w:noProof/>
          <w:sz w:val="16"/>
        </w:rPr>
        <w:drawing>
          <wp:inline distT="0" distB="0" distL="0" distR="0" wp14:anchorId="2EA7E4A0" wp14:editId="43B2721E">
            <wp:extent cx="3801600" cy="2138400"/>
            <wp:effectExtent l="0" t="0" r="8890" b="0"/>
            <wp:docPr id="2" name="Bildobjekt 2" descr="En bild som visar text,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LP.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01600" cy="2138400"/>
                    </a:xfrm>
                    <a:prstGeom prst="rect">
                      <a:avLst/>
                    </a:prstGeom>
                  </pic:spPr>
                </pic:pic>
              </a:graphicData>
            </a:graphic>
          </wp:inline>
        </w:drawing>
      </w:r>
    </w:p>
    <w:p w14:paraId="4CC21EDA" w14:textId="0B3A7428" w:rsidR="005973B9" w:rsidRDefault="005973B9" w:rsidP="005973B9">
      <w:pPr>
        <w:spacing w:line="204" w:lineRule="exact"/>
        <w:rPr>
          <w:rFonts w:ascii="Arial"/>
          <w:b/>
          <w:sz w:val="20"/>
        </w:rPr>
      </w:pPr>
      <w:r>
        <w:rPr>
          <w:rFonts w:ascii="Arial"/>
          <w:b/>
          <w:color w:val="BF5A14"/>
          <w:sz w:val="20"/>
        </w:rPr>
        <w:br/>
        <w:t xml:space="preserve">Recent Publications </w:t>
      </w:r>
    </w:p>
    <w:p w14:paraId="34AB3582" w14:textId="65811404" w:rsidR="005973B9" w:rsidRDefault="001103A8" w:rsidP="005973B9">
      <w:pPr>
        <w:pStyle w:val="Liststycke"/>
        <w:numPr>
          <w:ilvl w:val="0"/>
          <w:numId w:val="3"/>
        </w:numPr>
        <w:tabs>
          <w:tab w:val="left" w:pos="384"/>
        </w:tabs>
        <w:spacing w:line="216" w:lineRule="exact"/>
        <w:ind w:right="137" w:hanging="283"/>
        <w:rPr>
          <w:sz w:val="18"/>
        </w:rPr>
      </w:pPr>
      <w:proofErr w:type="spellStart"/>
      <w:r w:rsidRPr="001103A8">
        <w:rPr>
          <w:sz w:val="18"/>
        </w:rPr>
        <w:t>Ghaidan</w:t>
      </w:r>
      <w:proofErr w:type="spellEnd"/>
      <w:r w:rsidRPr="001103A8">
        <w:rPr>
          <w:sz w:val="18"/>
        </w:rPr>
        <w:t xml:space="preserve"> H, </w:t>
      </w:r>
      <w:proofErr w:type="spellStart"/>
      <w:r w:rsidRPr="001103A8">
        <w:rPr>
          <w:sz w:val="18"/>
        </w:rPr>
        <w:t>Fakhro</w:t>
      </w:r>
      <w:proofErr w:type="spellEnd"/>
      <w:r w:rsidRPr="001103A8">
        <w:rPr>
          <w:sz w:val="18"/>
        </w:rPr>
        <w:t xml:space="preserve"> M, </w:t>
      </w:r>
      <w:proofErr w:type="spellStart"/>
      <w:r w:rsidRPr="001103A8">
        <w:rPr>
          <w:sz w:val="18"/>
        </w:rPr>
        <w:t>Andreasson</w:t>
      </w:r>
      <w:proofErr w:type="spellEnd"/>
      <w:r w:rsidRPr="001103A8">
        <w:rPr>
          <w:sz w:val="18"/>
        </w:rPr>
        <w:t xml:space="preserve"> J, Pierre L, </w:t>
      </w:r>
      <w:proofErr w:type="spellStart"/>
      <w:r w:rsidRPr="001103A8">
        <w:rPr>
          <w:sz w:val="18"/>
        </w:rPr>
        <w:t>Ingemansson</w:t>
      </w:r>
      <w:proofErr w:type="spellEnd"/>
      <w:r w:rsidRPr="001103A8">
        <w:rPr>
          <w:sz w:val="18"/>
        </w:rPr>
        <w:t xml:space="preserve"> R, Lindstedt S. </w:t>
      </w:r>
      <w:proofErr w:type="gramStart"/>
      <w:r w:rsidRPr="001103A8">
        <w:rPr>
          <w:sz w:val="18"/>
        </w:rPr>
        <w:t>Ten year</w:t>
      </w:r>
      <w:proofErr w:type="gramEnd"/>
      <w:r w:rsidRPr="001103A8">
        <w:rPr>
          <w:sz w:val="18"/>
        </w:rPr>
        <w:t xml:space="preserve"> follow-up of lung transplantations using initially rejected donor lungs after reconditioning using ex vivo lung perfusion. J </w:t>
      </w:r>
      <w:proofErr w:type="spellStart"/>
      <w:r w:rsidRPr="001103A8">
        <w:rPr>
          <w:sz w:val="18"/>
        </w:rPr>
        <w:t>Cardiothorac</w:t>
      </w:r>
      <w:proofErr w:type="spellEnd"/>
      <w:r w:rsidRPr="001103A8">
        <w:rPr>
          <w:sz w:val="18"/>
        </w:rPr>
        <w:t xml:space="preserve"> Surg. 2019;14(1):125.</w:t>
      </w:r>
    </w:p>
    <w:p w14:paraId="37A73C59" w14:textId="22C4BEF6" w:rsidR="005973B9" w:rsidRDefault="001103A8" w:rsidP="001103A8">
      <w:pPr>
        <w:pStyle w:val="Liststycke"/>
        <w:numPr>
          <w:ilvl w:val="0"/>
          <w:numId w:val="3"/>
        </w:numPr>
        <w:tabs>
          <w:tab w:val="left" w:pos="384"/>
        </w:tabs>
        <w:spacing w:before="92" w:line="218" w:lineRule="exact"/>
        <w:ind w:hanging="283"/>
        <w:rPr>
          <w:sz w:val="18"/>
        </w:rPr>
      </w:pPr>
      <w:proofErr w:type="spellStart"/>
      <w:r w:rsidRPr="001103A8">
        <w:rPr>
          <w:sz w:val="18"/>
        </w:rPr>
        <w:t>Fakhro</w:t>
      </w:r>
      <w:proofErr w:type="spellEnd"/>
      <w:r w:rsidRPr="001103A8">
        <w:rPr>
          <w:sz w:val="18"/>
        </w:rPr>
        <w:t xml:space="preserve"> M, Larsson H, </w:t>
      </w:r>
      <w:proofErr w:type="spellStart"/>
      <w:r w:rsidRPr="001103A8">
        <w:rPr>
          <w:sz w:val="18"/>
        </w:rPr>
        <w:t>Malmsjo</w:t>
      </w:r>
      <w:proofErr w:type="spellEnd"/>
      <w:r w:rsidRPr="001103A8">
        <w:rPr>
          <w:sz w:val="18"/>
        </w:rPr>
        <w:t xml:space="preserve"> M, </w:t>
      </w:r>
      <w:proofErr w:type="spellStart"/>
      <w:r w:rsidRPr="001103A8">
        <w:rPr>
          <w:sz w:val="18"/>
        </w:rPr>
        <w:t>Algotsson</w:t>
      </w:r>
      <w:proofErr w:type="spellEnd"/>
      <w:r w:rsidRPr="001103A8">
        <w:rPr>
          <w:sz w:val="18"/>
        </w:rPr>
        <w:t xml:space="preserve"> L, Lindstedt S. ABO-identical matching has no superiority in long-term survival in comparison to ABO-compatible matching in lung transplantation. J </w:t>
      </w:r>
      <w:proofErr w:type="spellStart"/>
      <w:r w:rsidRPr="001103A8">
        <w:rPr>
          <w:sz w:val="18"/>
        </w:rPr>
        <w:t>Cardiothorac</w:t>
      </w:r>
      <w:proofErr w:type="spellEnd"/>
      <w:r w:rsidRPr="001103A8">
        <w:rPr>
          <w:sz w:val="18"/>
        </w:rPr>
        <w:t xml:space="preserve"> Surg. 2019;14(1)</w:t>
      </w:r>
    </w:p>
    <w:p w14:paraId="70DE9976" w14:textId="33C1D326" w:rsidR="001103A8" w:rsidRDefault="001103A8" w:rsidP="001103A8">
      <w:pPr>
        <w:pStyle w:val="Liststycke"/>
        <w:numPr>
          <w:ilvl w:val="0"/>
          <w:numId w:val="3"/>
        </w:numPr>
        <w:tabs>
          <w:tab w:val="left" w:pos="384"/>
        </w:tabs>
        <w:spacing w:before="92" w:line="218" w:lineRule="exact"/>
        <w:ind w:hanging="283"/>
        <w:rPr>
          <w:sz w:val="18"/>
        </w:rPr>
      </w:pPr>
      <w:proofErr w:type="spellStart"/>
      <w:r w:rsidRPr="001103A8">
        <w:rPr>
          <w:sz w:val="18"/>
        </w:rPr>
        <w:t>Broberg</w:t>
      </w:r>
      <w:proofErr w:type="spellEnd"/>
      <w:r w:rsidRPr="001103A8">
        <w:rPr>
          <w:sz w:val="18"/>
        </w:rPr>
        <w:t xml:space="preserve"> E, </w:t>
      </w:r>
      <w:proofErr w:type="spellStart"/>
      <w:r w:rsidRPr="001103A8">
        <w:rPr>
          <w:sz w:val="18"/>
        </w:rPr>
        <w:t>Hyllen</w:t>
      </w:r>
      <w:proofErr w:type="spellEnd"/>
      <w:r w:rsidRPr="001103A8">
        <w:rPr>
          <w:sz w:val="18"/>
        </w:rPr>
        <w:t xml:space="preserve"> S, </w:t>
      </w:r>
      <w:proofErr w:type="spellStart"/>
      <w:r w:rsidRPr="001103A8">
        <w:rPr>
          <w:sz w:val="18"/>
        </w:rPr>
        <w:t>Algotsson</w:t>
      </w:r>
      <w:proofErr w:type="spellEnd"/>
      <w:r w:rsidRPr="001103A8">
        <w:rPr>
          <w:sz w:val="18"/>
        </w:rPr>
        <w:t xml:space="preserve"> L, Wagner DE, Lindstedt S. Particle Flow Profiles </w:t>
      </w:r>
      <w:proofErr w:type="gramStart"/>
      <w:r w:rsidRPr="001103A8">
        <w:rPr>
          <w:sz w:val="18"/>
        </w:rPr>
        <w:t>From</w:t>
      </w:r>
      <w:proofErr w:type="gramEnd"/>
      <w:r w:rsidRPr="001103A8">
        <w:rPr>
          <w:sz w:val="18"/>
        </w:rPr>
        <w:t xml:space="preserve"> the Airways Measured by </w:t>
      </w:r>
      <w:proofErr w:type="spellStart"/>
      <w:r w:rsidRPr="001103A8">
        <w:rPr>
          <w:sz w:val="18"/>
        </w:rPr>
        <w:t>PExA</w:t>
      </w:r>
      <w:proofErr w:type="spellEnd"/>
      <w:r w:rsidRPr="001103A8">
        <w:rPr>
          <w:sz w:val="18"/>
        </w:rPr>
        <w:t xml:space="preserve"> Differ in Lung Transplant Recipients Who Develop Primary Graft Dysfunction. Exp Clin Transplant. 2019;17(6):803-12.</w:t>
      </w:r>
    </w:p>
    <w:p w14:paraId="2DCE3A70" w14:textId="5F4A6285" w:rsidR="001103A8" w:rsidRPr="001103A8" w:rsidRDefault="001103A8" w:rsidP="001103A8">
      <w:pPr>
        <w:pStyle w:val="Liststycke"/>
        <w:numPr>
          <w:ilvl w:val="0"/>
          <w:numId w:val="3"/>
        </w:numPr>
        <w:tabs>
          <w:tab w:val="left" w:pos="384"/>
        </w:tabs>
        <w:spacing w:before="92" w:line="218" w:lineRule="exact"/>
        <w:ind w:hanging="283"/>
        <w:rPr>
          <w:sz w:val="18"/>
        </w:rPr>
      </w:pPr>
      <w:proofErr w:type="spellStart"/>
      <w:r w:rsidRPr="001103A8">
        <w:rPr>
          <w:sz w:val="18"/>
        </w:rPr>
        <w:t>Broberg</w:t>
      </w:r>
      <w:proofErr w:type="spellEnd"/>
      <w:r w:rsidRPr="001103A8">
        <w:rPr>
          <w:sz w:val="18"/>
        </w:rPr>
        <w:t xml:space="preserve"> E, Pierre L, </w:t>
      </w:r>
      <w:proofErr w:type="spellStart"/>
      <w:r w:rsidRPr="001103A8">
        <w:rPr>
          <w:sz w:val="18"/>
        </w:rPr>
        <w:t>Fakhro</w:t>
      </w:r>
      <w:proofErr w:type="spellEnd"/>
      <w:r w:rsidRPr="001103A8">
        <w:rPr>
          <w:sz w:val="18"/>
        </w:rPr>
        <w:t xml:space="preserve"> M, </w:t>
      </w:r>
      <w:proofErr w:type="spellStart"/>
      <w:r w:rsidRPr="001103A8">
        <w:rPr>
          <w:sz w:val="18"/>
        </w:rPr>
        <w:t>Algotsson</w:t>
      </w:r>
      <w:proofErr w:type="spellEnd"/>
      <w:r w:rsidRPr="001103A8">
        <w:rPr>
          <w:sz w:val="18"/>
        </w:rPr>
        <w:t xml:space="preserve"> L, </w:t>
      </w:r>
      <w:proofErr w:type="spellStart"/>
      <w:r w:rsidRPr="001103A8">
        <w:rPr>
          <w:sz w:val="18"/>
        </w:rPr>
        <w:t>Malmsjo</w:t>
      </w:r>
      <w:proofErr w:type="spellEnd"/>
      <w:r w:rsidRPr="001103A8">
        <w:rPr>
          <w:sz w:val="18"/>
        </w:rPr>
        <w:t xml:space="preserve"> M, </w:t>
      </w:r>
      <w:proofErr w:type="spellStart"/>
      <w:r w:rsidRPr="001103A8">
        <w:rPr>
          <w:sz w:val="18"/>
        </w:rPr>
        <w:t>Hyllen</w:t>
      </w:r>
      <w:proofErr w:type="spellEnd"/>
      <w:r w:rsidRPr="001103A8">
        <w:rPr>
          <w:sz w:val="18"/>
        </w:rPr>
        <w:t xml:space="preserve"> S, Lindstedt S. Different particle flow patterns from the airways after recruitment </w:t>
      </w:r>
      <w:proofErr w:type="spellStart"/>
      <w:r w:rsidRPr="001103A8">
        <w:rPr>
          <w:sz w:val="18"/>
        </w:rPr>
        <w:t>manoeuvres</w:t>
      </w:r>
      <w:proofErr w:type="spellEnd"/>
      <w:r w:rsidRPr="001103A8">
        <w:rPr>
          <w:sz w:val="18"/>
        </w:rPr>
        <w:t xml:space="preserve"> using volume-controlled or pressure-controlled ventilation. Intensive Care Med Exp. 2019;7(1):16.</w:t>
      </w:r>
    </w:p>
    <w:p w14:paraId="25C2F38E" w14:textId="7E03BA2D" w:rsidR="005973B9" w:rsidRDefault="005973B9" w:rsidP="005973B9">
      <w:pPr>
        <w:pStyle w:val="Brdtext"/>
        <w:spacing w:before="85" w:line="216" w:lineRule="exact"/>
        <w:ind w:left="383" w:right="138" w:hanging="284"/>
        <w:jc w:val="both"/>
        <w:rPr>
          <w:rFonts w:ascii="Calibri" w:hAnsi="Calibri"/>
        </w:rPr>
      </w:pPr>
      <w:r>
        <w:rPr>
          <w:rFonts w:ascii="Calibri" w:hAnsi="Calibri"/>
        </w:rPr>
        <w:t xml:space="preserve">5. </w:t>
      </w:r>
      <w:proofErr w:type="spellStart"/>
      <w:r w:rsidR="001103A8" w:rsidRPr="001103A8">
        <w:rPr>
          <w:rFonts w:ascii="Calibri" w:hAnsi="Calibri"/>
        </w:rPr>
        <w:t>Broberg</w:t>
      </w:r>
      <w:proofErr w:type="spellEnd"/>
      <w:r w:rsidR="001103A8" w:rsidRPr="001103A8">
        <w:rPr>
          <w:rFonts w:ascii="Calibri" w:hAnsi="Calibri"/>
        </w:rPr>
        <w:t xml:space="preserve"> E, </w:t>
      </w:r>
      <w:proofErr w:type="spellStart"/>
      <w:r w:rsidR="001103A8" w:rsidRPr="001103A8">
        <w:rPr>
          <w:rFonts w:ascii="Calibri" w:hAnsi="Calibri"/>
        </w:rPr>
        <w:t>Wlosinska</w:t>
      </w:r>
      <w:proofErr w:type="spellEnd"/>
      <w:r w:rsidR="001103A8" w:rsidRPr="001103A8">
        <w:rPr>
          <w:rFonts w:ascii="Calibri" w:hAnsi="Calibri"/>
        </w:rPr>
        <w:t xml:space="preserve"> M, </w:t>
      </w:r>
      <w:proofErr w:type="spellStart"/>
      <w:r w:rsidR="001103A8" w:rsidRPr="001103A8">
        <w:rPr>
          <w:rFonts w:ascii="Calibri" w:hAnsi="Calibri"/>
        </w:rPr>
        <w:t>Algotsson</w:t>
      </w:r>
      <w:proofErr w:type="spellEnd"/>
      <w:r w:rsidR="001103A8" w:rsidRPr="001103A8">
        <w:rPr>
          <w:rFonts w:ascii="Calibri" w:hAnsi="Calibri"/>
        </w:rPr>
        <w:t xml:space="preserve"> L, Olin AC, Wagner D, Pierre L, Lindstedt S. A new way of monitoring mechanical ventilation by measurement of particle flow from the airways using Pexa method in vivo and during ex vivo lung perfusion in DCD lung transplantation. Intensive Care Med Exp. 2018;6(1):18.</w:t>
      </w:r>
    </w:p>
    <w:p w14:paraId="43066487" w14:textId="77777777" w:rsidR="00AE3E37" w:rsidRPr="008756E6" w:rsidRDefault="00AE3E37" w:rsidP="008756E6">
      <w:pPr>
        <w:tabs>
          <w:tab w:val="left" w:pos="384"/>
        </w:tabs>
        <w:ind w:right="117"/>
      </w:pPr>
    </w:p>
    <w:p w14:paraId="674B75F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9392330" w14:textId="77777777" w:rsidR="00AE3E37" w:rsidRDefault="00292ED9">
      <w:pPr>
        <w:pStyle w:val="Brd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025CC44" wp14:editId="351A1FA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679FD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007AB80" w14:textId="5835B642" w:rsidR="00AE3E37" w:rsidRDefault="008756E6" w:rsidP="00404E5B">
      <w:pPr>
        <w:spacing w:before="92"/>
        <w:ind w:right="4234"/>
        <w:rPr>
          <w:rFonts w:ascii="Arial"/>
        </w:rPr>
      </w:pPr>
      <w:r>
        <w:rPr>
          <w:noProof/>
        </w:rPr>
        <w:t xml:space="preserve">              </w:t>
      </w:r>
    </w:p>
    <w:p w14:paraId="7F6E28EC" w14:textId="05433B65" w:rsidR="001103A8" w:rsidRDefault="001103A8" w:rsidP="001103A8">
      <w:pPr>
        <w:spacing w:before="41" w:line="154" w:lineRule="exact"/>
        <w:ind w:left="213" w:right="231"/>
        <w:jc w:val="both"/>
        <w:rPr>
          <w:rFonts w:ascii="Arial"/>
          <w:sz w:val="14"/>
        </w:rPr>
      </w:pPr>
      <w:r>
        <w:rPr>
          <w:rFonts w:ascii="Arial"/>
          <w:noProof/>
          <w:color w:val="BF5A14"/>
        </w:rPr>
        <w:drawing>
          <wp:anchor distT="0" distB="0" distL="114300" distR="114300" simplePos="0" relativeHeight="251658240" behindDoc="1" locked="0" layoutInCell="1" allowOverlap="1" wp14:anchorId="6ABE3B16" wp14:editId="20D3448A">
            <wp:simplePos x="0" y="0"/>
            <wp:positionH relativeFrom="column">
              <wp:posOffset>101600</wp:posOffset>
            </wp:positionH>
            <wp:positionV relativeFrom="paragraph">
              <wp:posOffset>29845</wp:posOffset>
            </wp:positionV>
            <wp:extent cx="457200" cy="687070"/>
            <wp:effectExtent l="0" t="0" r="0" b="0"/>
            <wp:wrapTight wrapText="bothSides">
              <wp:wrapPolygon edited="0">
                <wp:start x="0" y="0"/>
                <wp:lineTo x="0" y="20961"/>
                <wp:lineTo x="20700" y="20961"/>
                <wp:lineTo x="20700" y="0"/>
                <wp:lineTo x="0" y="0"/>
              </wp:wrapPolygon>
            </wp:wrapTight>
            <wp:docPr id="3" name="Bildobjekt 3" descr="En bild som visar person, utomhus, kvinna, kläd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ndra_lindstedt_portratt_240x360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 cy="687070"/>
                    </a:xfrm>
                    <a:prstGeom prst="rect">
                      <a:avLst/>
                    </a:prstGeom>
                  </pic:spPr>
                </pic:pic>
              </a:graphicData>
            </a:graphic>
          </wp:anchor>
        </w:drawing>
      </w:r>
      <w:r w:rsidR="00A9710C">
        <w:rPr>
          <w:rFonts w:ascii="Arial"/>
          <w:sz w:val="14"/>
        </w:rPr>
        <w:t>D</w:t>
      </w:r>
      <w:r w:rsidR="0078738A">
        <w:rPr>
          <w:rFonts w:ascii="Arial"/>
          <w:sz w:val="14"/>
        </w:rPr>
        <w:t xml:space="preserve">r </w:t>
      </w:r>
      <w:r>
        <w:rPr>
          <w:rFonts w:ascii="Arial"/>
          <w:sz w:val="14"/>
        </w:rPr>
        <w:t xml:space="preserve">Lindstedt </w:t>
      </w:r>
      <w:r w:rsidR="00A9710C">
        <w:rPr>
          <w:rFonts w:ascii="Arial"/>
          <w:sz w:val="14"/>
        </w:rPr>
        <w:t xml:space="preserve">has her expertise in </w:t>
      </w:r>
      <w:r>
        <w:rPr>
          <w:rFonts w:ascii="Arial"/>
          <w:sz w:val="14"/>
        </w:rPr>
        <w:t>lung transplantation. Her</w:t>
      </w:r>
      <w:r w:rsidRPr="001103A8">
        <w:rPr>
          <w:rFonts w:ascii="Arial"/>
          <w:sz w:val="14"/>
        </w:rPr>
        <w:t xml:space="preserve"> lab have developed a bioinformatics approach to study the biological response of human lungs to EVLP (ischemia-perfusion), transplantation (ischemia-reperfusion) and ECMO treatment (acute lung injury) by analyzing biopsies, plasma, </w:t>
      </w:r>
      <w:proofErr w:type="spellStart"/>
      <w:r w:rsidRPr="001103A8">
        <w:rPr>
          <w:rFonts w:ascii="Arial"/>
          <w:sz w:val="14"/>
        </w:rPr>
        <w:t>broncho</w:t>
      </w:r>
      <w:proofErr w:type="spellEnd"/>
      <w:r w:rsidRPr="001103A8">
        <w:rPr>
          <w:rFonts w:ascii="Arial"/>
          <w:sz w:val="14"/>
        </w:rPr>
        <w:t xml:space="preserve"> alveolar lavage (BAL) and exhaled breath particles (EBP</w:t>
      </w:r>
      <w:r w:rsidRPr="001103A8">
        <w:rPr>
          <w:rFonts w:ascii="Arial"/>
          <w:sz w:val="14"/>
        </w:rPr>
        <w:t>´</w:t>
      </w:r>
      <w:r w:rsidRPr="001103A8">
        <w:rPr>
          <w:rFonts w:ascii="Arial"/>
          <w:sz w:val="14"/>
        </w:rPr>
        <w:t xml:space="preserve">s). We identified responses predominant to either ECMO, EVLP or transplantation. Responses represent potential therapeutic targets for lung repair, but the responses also reveal insights into the mechanisms and protective effects of EVLP and reperfusion induced changes in the lung. </w:t>
      </w:r>
      <w:r>
        <w:rPr>
          <w:rFonts w:ascii="Arial"/>
          <w:sz w:val="14"/>
        </w:rPr>
        <w:t>Her</w:t>
      </w:r>
      <w:r w:rsidRPr="001103A8">
        <w:rPr>
          <w:rFonts w:ascii="Arial"/>
          <w:sz w:val="14"/>
        </w:rPr>
        <w:t xml:space="preserve"> lab </w:t>
      </w:r>
      <w:proofErr w:type="gramStart"/>
      <w:r w:rsidRPr="001103A8">
        <w:rPr>
          <w:rFonts w:ascii="Arial"/>
          <w:sz w:val="14"/>
        </w:rPr>
        <w:t>focus</w:t>
      </w:r>
      <w:proofErr w:type="gramEnd"/>
      <w:r w:rsidRPr="001103A8">
        <w:rPr>
          <w:rFonts w:ascii="Arial"/>
          <w:sz w:val="14"/>
        </w:rPr>
        <w:t xml:space="preserve"> on translational and clinical approaches to develop novel therapeutic approaches for lung injury: (</w:t>
      </w:r>
      <w:proofErr w:type="spellStart"/>
      <w:r w:rsidRPr="001103A8">
        <w:rPr>
          <w:rFonts w:ascii="Arial"/>
          <w:sz w:val="14"/>
        </w:rPr>
        <w:t>i</w:t>
      </w:r>
      <w:proofErr w:type="spellEnd"/>
      <w:r w:rsidRPr="001103A8">
        <w:rPr>
          <w:rFonts w:ascii="Arial"/>
          <w:sz w:val="14"/>
        </w:rPr>
        <w:t xml:space="preserve">) understanding the immune response in the lung and periphery, (ii) including crosstalk between lymphocytes and neutrophils/monocytes; (iii) and by cell therapy in EVLP, ECMO and transplant models </w:t>
      </w:r>
      <w:r>
        <w:rPr>
          <w:rFonts w:ascii="Arial"/>
          <w:sz w:val="14"/>
        </w:rPr>
        <w:t xml:space="preserve"> </w:t>
      </w:r>
    </w:p>
    <w:p w14:paraId="08B5C2DD" w14:textId="73BA523C" w:rsidR="00AE3E37" w:rsidRDefault="00A9710C" w:rsidP="00E6039C">
      <w:pPr>
        <w:spacing w:before="62"/>
        <w:ind w:left="2880" w:right="4235"/>
        <w:rPr>
          <w:rFonts w:ascii="Arial"/>
          <w:sz w:val="14"/>
        </w:rPr>
      </w:pPr>
      <w:r>
        <w:rPr>
          <w:rFonts w:ascii="Arial"/>
          <w:sz w:val="14"/>
        </w:rPr>
        <w:t xml:space="preserve">Email: </w:t>
      </w:r>
      <w:r w:rsidR="00E6039C" w:rsidRPr="00E6039C">
        <w:rPr>
          <w:rFonts w:ascii="Arial"/>
          <w:sz w:val="14"/>
        </w:rPr>
        <w:t>sandra.linds</w:t>
      </w:r>
      <w:r w:rsidR="00E6039C">
        <w:rPr>
          <w:rFonts w:ascii="Arial"/>
          <w:sz w:val="14"/>
        </w:rPr>
        <w:t>tedt_ingemansson@med.lu.se</w:t>
      </w:r>
    </w:p>
    <w:p w14:paraId="40014159" w14:textId="77777777" w:rsidR="00AE3E37" w:rsidRDefault="00292ED9">
      <w:pPr>
        <w:pStyle w:val="Brd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6F0C1A9" wp14:editId="3D424D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6CA2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B34BB7E" w14:textId="77777777" w:rsidR="00AE3E37" w:rsidRDefault="00AE3E37">
      <w:pPr>
        <w:pStyle w:val="Brdtext"/>
        <w:rPr>
          <w:rFonts w:ascii="Arial"/>
          <w:sz w:val="20"/>
        </w:rPr>
      </w:pPr>
    </w:p>
    <w:p w14:paraId="0109812E" w14:textId="77777777" w:rsidR="00AE3E37" w:rsidRDefault="00AE3E37">
      <w:pPr>
        <w:pStyle w:val="Brdtext"/>
        <w:rPr>
          <w:rFonts w:ascii="Arial"/>
          <w:sz w:val="20"/>
        </w:rPr>
      </w:pPr>
    </w:p>
    <w:p w14:paraId="64AD8239" w14:textId="77777777" w:rsidR="00AE3E37" w:rsidRDefault="00AE3E37">
      <w:pPr>
        <w:pStyle w:val="Brdtext"/>
        <w:spacing w:before="7"/>
        <w:rPr>
          <w:rFonts w:ascii="Arial"/>
          <w:sz w:val="29"/>
        </w:rPr>
      </w:pPr>
    </w:p>
    <w:p w14:paraId="6F69AD9B" w14:textId="77777777" w:rsidR="00AE3E37" w:rsidRPr="00B21A57" w:rsidRDefault="00A9710C">
      <w:pPr>
        <w:spacing w:before="39"/>
        <w:ind w:left="100"/>
        <w:rPr>
          <w:rFonts w:ascii="Minion Pro"/>
          <w:b/>
          <w:sz w:val="20"/>
        </w:rPr>
      </w:pPr>
      <w:bookmarkStart w:id="0" w:name="_GoBack"/>
      <w:r w:rsidRPr="00B21A57">
        <w:rPr>
          <w:rFonts w:ascii="Minion Pro"/>
          <w:b/>
          <w:sz w:val="20"/>
        </w:rPr>
        <w:t>Notes/Comments:</w:t>
      </w:r>
    </w:p>
    <w:p w14:paraId="4436040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bookmarkEnd w:id="0"/>
    <w:p w14:paraId="67445508" w14:textId="77777777" w:rsidR="00AE3E37" w:rsidRDefault="00AE3E37">
      <w:pPr>
        <w:pStyle w:val="Brd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809E2" w14:textId="77777777" w:rsidR="0055585E" w:rsidRDefault="0055585E">
      <w:r>
        <w:separator/>
      </w:r>
    </w:p>
  </w:endnote>
  <w:endnote w:type="continuationSeparator" w:id="0">
    <w:p w14:paraId="7C8A6591" w14:textId="77777777" w:rsidR="0055585E" w:rsidRDefault="00555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4F6B7" w14:textId="77777777" w:rsidR="00AE3E37" w:rsidRDefault="00292ED9">
    <w:pPr>
      <w:pStyle w:val="Brd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8884745" wp14:editId="4F231FF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5214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CB81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8474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6B5214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CB81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18D66C0" wp14:editId="78AB937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3201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6278E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D66C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533201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6278E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94418A9" wp14:editId="7472F7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0546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12C0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418A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AE0546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12C0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BF7927" w14:textId="77777777" w:rsidR="0055585E" w:rsidRDefault="0055585E">
      <w:r>
        <w:separator/>
      </w:r>
    </w:p>
  </w:footnote>
  <w:footnote w:type="continuationSeparator" w:id="0">
    <w:p w14:paraId="54FC4F33" w14:textId="77777777" w:rsidR="0055585E" w:rsidRDefault="00555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C26FD" w14:textId="77777777" w:rsidR="00AE3E37" w:rsidRDefault="00292ED9">
    <w:pPr>
      <w:pStyle w:val="Brd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B1F5AD" wp14:editId="512AA61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420A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1F5A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99420A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C33B68C" wp14:editId="16EEF70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BA7BA" w14:textId="77777777" w:rsidR="00AE3E37" w:rsidRPr="005B3A56" w:rsidRDefault="00A9710C">
                          <w:pPr>
                            <w:pStyle w:val="Brd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6E6D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3B68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B4BA7BA" w14:textId="77777777" w:rsidR="00AE3E37" w:rsidRPr="005B3A56" w:rsidRDefault="00A9710C">
                    <w:pPr>
                      <w:pStyle w:val="Brd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6E6D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103A8"/>
    <w:rsid w:val="001263DF"/>
    <w:rsid w:val="001E763C"/>
    <w:rsid w:val="00292ED9"/>
    <w:rsid w:val="00314AFB"/>
    <w:rsid w:val="003B76D9"/>
    <w:rsid w:val="00404E5B"/>
    <w:rsid w:val="00414F7B"/>
    <w:rsid w:val="004355DC"/>
    <w:rsid w:val="004749B4"/>
    <w:rsid w:val="00494130"/>
    <w:rsid w:val="004F3523"/>
    <w:rsid w:val="0055585E"/>
    <w:rsid w:val="005973B9"/>
    <w:rsid w:val="005B3A56"/>
    <w:rsid w:val="006060CE"/>
    <w:rsid w:val="0063497F"/>
    <w:rsid w:val="0078738A"/>
    <w:rsid w:val="00873DF0"/>
    <w:rsid w:val="008756E6"/>
    <w:rsid w:val="00943ADF"/>
    <w:rsid w:val="009B2D44"/>
    <w:rsid w:val="00A07E82"/>
    <w:rsid w:val="00A16F13"/>
    <w:rsid w:val="00A9710C"/>
    <w:rsid w:val="00AE3E37"/>
    <w:rsid w:val="00B21A57"/>
    <w:rsid w:val="00C33602"/>
    <w:rsid w:val="00CD6F55"/>
    <w:rsid w:val="00D62425"/>
    <w:rsid w:val="00DE3104"/>
    <w:rsid w:val="00E6039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0BB0E"/>
  <w15:docId w15:val="{2F7B13C9-511F-4352-8799-F101E746C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Rubri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Rubrik2">
    <w:name w:val="heading 2"/>
    <w:basedOn w:val="Normal"/>
    <w:uiPriority w:val="1"/>
    <w:qFormat/>
    <w:rsid w:val="00CD6F55"/>
    <w:pPr>
      <w:ind w:left="100"/>
      <w:outlineLvl w:val="1"/>
    </w:pPr>
    <w:rPr>
      <w:rFonts w:ascii="Minion Pro" w:eastAsia="Minion Pro" w:hAnsi="Minion Pro" w:cs="Minion Pro"/>
      <w:sz w:val="24"/>
      <w:szCs w:val="24"/>
    </w:rPr>
  </w:style>
  <w:style w:type="paragraph" w:styleId="Rubrik3">
    <w:name w:val="heading 3"/>
    <w:basedOn w:val="Normal"/>
    <w:uiPriority w:val="1"/>
    <w:qFormat/>
    <w:rsid w:val="00CD6F55"/>
    <w:pPr>
      <w:ind w:left="100"/>
      <w:outlineLvl w:val="2"/>
    </w:pPr>
    <w:rPr>
      <w:rFonts w:ascii="Arial" w:eastAsia="Arial" w:hAnsi="Arial" w:cs="Arial"/>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uiPriority w:val="1"/>
    <w:qFormat/>
    <w:rsid w:val="00CD6F55"/>
    <w:rPr>
      <w:sz w:val="18"/>
      <w:szCs w:val="18"/>
    </w:rPr>
  </w:style>
  <w:style w:type="paragraph" w:styleId="Liststyck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idhuvud">
    <w:name w:val="header"/>
    <w:basedOn w:val="Normal"/>
    <w:link w:val="SidhuvudChar"/>
    <w:uiPriority w:val="99"/>
    <w:unhideWhenUsed/>
    <w:rsid w:val="005B3A56"/>
    <w:pPr>
      <w:tabs>
        <w:tab w:val="center" w:pos="4513"/>
        <w:tab w:val="right" w:pos="9026"/>
      </w:tabs>
    </w:pPr>
  </w:style>
  <w:style w:type="character" w:customStyle="1" w:styleId="SidhuvudChar">
    <w:name w:val="Sidhuvud Char"/>
    <w:basedOn w:val="Standardstycketeckensnitt"/>
    <w:link w:val="Sidhuvud"/>
    <w:uiPriority w:val="99"/>
    <w:rsid w:val="005B3A56"/>
    <w:rPr>
      <w:rFonts w:ascii="Tw Cen MT" w:eastAsia="Tw Cen MT" w:hAnsi="Tw Cen MT" w:cs="Tw Cen MT"/>
    </w:rPr>
  </w:style>
  <w:style w:type="paragraph" w:styleId="Sidfot">
    <w:name w:val="footer"/>
    <w:basedOn w:val="Normal"/>
    <w:link w:val="SidfotChar"/>
    <w:uiPriority w:val="99"/>
    <w:unhideWhenUsed/>
    <w:rsid w:val="005B3A56"/>
    <w:pPr>
      <w:tabs>
        <w:tab w:val="center" w:pos="4513"/>
        <w:tab w:val="right" w:pos="9026"/>
      </w:tabs>
    </w:pPr>
  </w:style>
  <w:style w:type="character" w:customStyle="1" w:styleId="SidfotChar">
    <w:name w:val="Sidfot Char"/>
    <w:basedOn w:val="Standardstycketeckensnitt"/>
    <w:link w:val="Sidfot"/>
    <w:uiPriority w:val="99"/>
    <w:rsid w:val="005B3A56"/>
    <w:rPr>
      <w:rFonts w:ascii="Tw Cen MT" w:eastAsia="Tw Cen MT" w:hAnsi="Tw Cen MT" w:cs="Tw Cen MT"/>
    </w:rPr>
  </w:style>
  <w:style w:type="paragraph" w:styleId="Ballongtext">
    <w:name w:val="Balloon Text"/>
    <w:basedOn w:val="Normal"/>
    <w:link w:val="BallongtextChar"/>
    <w:uiPriority w:val="99"/>
    <w:semiHidden/>
    <w:unhideWhenUsed/>
    <w:rsid w:val="004F3523"/>
    <w:rPr>
      <w:rFonts w:ascii="Tahoma" w:hAnsi="Tahoma" w:cs="Tahoma"/>
      <w:sz w:val="16"/>
      <w:szCs w:val="16"/>
    </w:rPr>
  </w:style>
  <w:style w:type="character" w:customStyle="1" w:styleId="BallongtextChar">
    <w:name w:val="Ballongtext Char"/>
    <w:basedOn w:val="Standardstycketeckensnitt"/>
    <w:link w:val="Ballongtext"/>
    <w:uiPriority w:val="99"/>
    <w:semiHidden/>
    <w:rsid w:val="004F3523"/>
    <w:rPr>
      <w:rFonts w:ascii="Tahoma" w:eastAsia="Tw Cen MT" w:hAnsi="Tahoma" w:cs="Tahoma"/>
      <w:sz w:val="16"/>
      <w:szCs w:val="16"/>
    </w:rPr>
  </w:style>
  <w:style w:type="character" w:styleId="Hyperlnk">
    <w:name w:val="Hyperlink"/>
    <w:basedOn w:val="Standardstycketeckensnitt"/>
    <w:uiPriority w:val="99"/>
    <w:unhideWhenUsed/>
    <w:rsid w:val="008756E6"/>
    <w:rPr>
      <w:color w:val="0000FF" w:themeColor="hyperlink"/>
      <w:u w:val="single"/>
    </w:rPr>
  </w:style>
  <w:style w:type="character" w:customStyle="1" w:styleId="BrdtextChar">
    <w:name w:val="Brödtext Char"/>
    <w:basedOn w:val="Standardstycketeckensnitt"/>
    <w:link w:val="Brd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533</Words>
  <Characters>3625</Characters>
  <Application>Microsoft Office Word</Application>
  <DocSecurity>0</DocSecurity>
  <Lines>120</Lines>
  <Paragraphs>42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Sandra Lindstedt</cp:lastModifiedBy>
  <cp:revision>2</cp:revision>
  <dcterms:created xsi:type="dcterms:W3CDTF">2020-01-22T10:55:00Z</dcterms:created>
  <dcterms:modified xsi:type="dcterms:W3CDTF">2020-01-22T10:55:00Z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